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DF0" w:rsidRDefault="004D2DF0" w:rsidP="009022FA">
      <w:pPr>
        <w:ind w:hanging="10"/>
        <w:jc w:val="center"/>
        <w:outlineLvl w:val="0"/>
        <w:rPr>
          <w:rFonts w:ascii="Palatino Linotype" w:hAnsi="Palatino Linotype"/>
          <w:b/>
          <w:bCs/>
          <w:spacing w:val="-10"/>
          <w:sz w:val="22"/>
          <w:szCs w:val="22"/>
        </w:rPr>
      </w:pPr>
      <w:r>
        <w:rPr>
          <w:rFonts w:ascii="Palatino Linotype" w:hAnsi="Palatino Linotype"/>
          <w:b/>
          <w:bCs/>
          <w:spacing w:val="-10"/>
          <w:sz w:val="22"/>
          <w:szCs w:val="22"/>
        </w:rPr>
        <w:t>NCSHA 201</w:t>
      </w:r>
      <w:r w:rsidR="00523808">
        <w:rPr>
          <w:rFonts w:ascii="Palatino Linotype" w:hAnsi="Palatino Linotype"/>
          <w:b/>
          <w:bCs/>
          <w:spacing w:val="-10"/>
          <w:sz w:val="22"/>
          <w:szCs w:val="22"/>
        </w:rPr>
        <w:t>6</w:t>
      </w:r>
      <w:r>
        <w:rPr>
          <w:rFonts w:ascii="Palatino Linotype" w:hAnsi="Palatino Linotype"/>
          <w:b/>
          <w:bCs/>
          <w:spacing w:val="-10"/>
          <w:sz w:val="22"/>
          <w:szCs w:val="22"/>
        </w:rPr>
        <w:t xml:space="preserve"> Business, Legislative, and Regulatory Priorities</w:t>
      </w:r>
    </w:p>
    <w:p w:rsidR="004D2DF0" w:rsidRDefault="004D2DF0" w:rsidP="004D2DF0">
      <w:pPr>
        <w:tabs>
          <w:tab w:val="left" w:pos="3600"/>
        </w:tabs>
        <w:ind w:left="3600" w:hanging="3600"/>
        <w:jc w:val="center"/>
        <w:outlineLvl w:val="0"/>
        <w:rPr>
          <w:rFonts w:ascii="Palatino Linotype" w:hAnsi="Palatino Linotype"/>
          <w:b/>
          <w:bCs/>
          <w:spacing w:val="-10"/>
          <w:sz w:val="22"/>
          <w:szCs w:val="22"/>
        </w:rPr>
      </w:pPr>
    </w:p>
    <w:p w:rsidR="00B44AF5" w:rsidRDefault="004D2DF0" w:rsidP="004D2DF0">
      <w:pPr>
        <w:pStyle w:val="BodyText2"/>
        <w:ind w:firstLine="720"/>
        <w:rPr>
          <w:rFonts w:ascii="Palatino Linotype" w:hAnsi="Palatino Linotype"/>
          <w:b w:val="0"/>
          <w:bCs w:val="0"/>
          <w:spacing w:val="-10"/>
          <w:sz w:val="22"/>
          <w:szCs w:val="22"/>
        </w:rPr>
      </w:pPr>
      <w:bookmarkStart w:id="0" w:name="_GoBack"/>
      <w:r w:rsidRPr="004D2DF0">
        <w:rPr>
          <w:rFonts w:ascii="Palatino Linotype" w:hAnsi="Palatino Linotype"/>
          <w:b w:val="0"/>
          <w:bCs w:val="0"/>
          <w:spacing w:val="-10"/>
          <w:sz w:val="22"/>
          <w:szCs w:val="22"/>
        </w:rPr>
        <w:t>The National Council of State Housing Agencies (NCSHA) is a national nonprofit</w:t>
      </w:r>
      <w:r w:rsidR="007935D8">
        <w:rPr>
          <w:rFonts w:ascii="Palatino Linotype" w:hAnsi="Palatino Linotype"/>
          <w:b w:val="0"/>
          <w:bCs w:val="0"/>
          <w:spacing w:val="-10"/>
          <w:sz w:val="22"/>
          <w:szCs w:val="22"/>
        </w:rPr>
        <w:t>, nonpartisan</w:t>
      </w:r>
      <w:r w:rsidRPr="004D2DF0">
        <w:rPr>
          <w:rFonts w:ascii="Palatino Linotype" w:hAnsi="Palatino Linotype"/>
          <w:b w:val="0"/>
          <w:bCs w:val="0"/>
          <w:spacing w:val="-10"/>
          <w:sz w:val="22"/>
          <w:szCs w:val="22"/>
        </w:rPr>
        <w:t xml:space="preserve"> organization created by the nation’s state Housing Finance Agencies (HFAs) to advance </w:t>
      </w:r>
      <w:r w:rsidRPr="004D2DF0">
        <w:rPr>
          <w:rFonts w:ascii="Palatino Linotype" w:hAnsi="Palatino Linotype"/>
          <w:b w:val="0"/>
          <w:spacing w:val="-10"/>
          <w:sz w:val="22"/>
          <w:szCs w:val="22"/>
        </w:rPr>
        <w:t>through advocacy and education their efforts to provide affordable housing to those who need it</w:t>
      </w:r>
      <w:r w:rsidRPr="004D2DF0">
        <w:rPr>
          <w:rFonts w:ascii="Palatino Linotype" w:hAnsi="Palatino Linotype"/>
          <w:b w:val="0"/>
          <w:bCs w:val="0"/>
          <w:spacing w:val="-10"/>
          <w:sz w:val="22"/>
          <w:szCs w:val="22"/>
        </w:rPr>
        <w:t>.  NCSHA’s priorities, adopted annually by its Board of Directors after consultation with all state HFAs, set the agenda for NCSHA’s advocacy before Congress, the Administration, and the federal agencies concerned with housing, including HUD, USDA, and the Treasury</w:t>
      </w:r>
      <w:r w:rsidR="007935D8">
        <w:rPr>
          <w:rFonts w:ascii="Palatino Linotype" w:hAnsi="Palatino Linotype"/>
          <w:b w:val="0"/>
          <w:bCs w:val="0"/>
          <w:spacing w:val="-10"/>
          <w:sz w:val="22"/>
          <w:szCs w:val="22"/>
        </w:rPr>
        <w:t>, as well as its business activities</w:t>
      </w:r>
      <w:r w:rsidRPr="004D2DF0">
        <w:rPr>
          <w:rFonts w:ascii="Palatino Linotype" w:hAnsi="Palatino Linotype"/>
          <w:b w:val="0"/>
          <w:bCs w:val="0"/>
          <w:spacing w:val="-10"/>
          <w:sz w:val="22"/>
          <w:szCs w:val="22"/>
        </w:rPr>
        <w:t xml:space="preserve">.  </w:t>
      </w:r>
    </w:p>
    <w:bookmarkEnd w:id="0"/>
    <w:p w:rsidR="00ED47F5" w:rsidRDefault="00ED47F5" w:rsidP="004D2DF0">
      <w:pPr>
        <w:pStyle w:val="BodyText2"/>
        <w:ind w:firstLine="720"/>
        <w:rPr>
          <w:rFonts w:ascii="Palatino Linotype" w:hAnsi="Palatino Linotype"/>
          <w:b w:val="0"/>
          <w:bCs w:val="0"/>
          <w:spacing w:val="-10"/>
          <w:sz w:val="22"/>
          <w:szCs w:val="22"/>
        </w:rPr>
      </w:pPr>
    </w:p>
    <w:p w:rsidR="007D0EEC" w:rsidRDefault="004D2DF0" w:rsidP="00F836D6">
      <w:pPr>
        <w:spacing w:line="234" w:lineRule="auto"/>
        <w:ind w:firstLine="720"/>
        <w:jc w:val="both"/>
        <w:rPr>
          <w:rFonts w:ascii="Palatino Linotype" w:hAnsi="Palatino Linotype"/>
          <w:spacing w:val="-10"/>
          <w:sz w:val="22"/>
          <w:szCs w:val="22"/>
        </w:rPr>
      </w:pPr>
      <w:r w:rsidRPr="004D2DF0">
        <w:rPr>
          <w:rFonts w:ascii="Palatino Linotype" w:hAnsi="Palatino Linotype"/>
          <w:spacing w:val="-10"/>
          <w:sz w:val="22"/>
          <w:szCs w:val="22"/>
        </w:rPr>
        <w:t xml:space="preserve">NCSHA’s overarching goal is an affordably housed nation.  To achieve this, NCSHA is committed to protecting, expanding, and increasing the effectiveness of federal affordable housing programs responsive to the wide range of needs HFAs serve, including the need for homeowner and rental housing, housing in rural areas, and supportive housing for persons with special needs and individuals and families </w:t>
      </w:r>
      <w:r w:rsidR="007D0EEC">
        <w:rPr>
          <w:rFonts w:ascii="Palatino Linotype" w:hAnsi="Palatino Linotype"/>
          <w:spacing w:val="-10"/>
          <w:sz w:val="22"/>
          <w:szCs w:val="22"/>
        </w:rPr>
        <w:t xml:space="preserve">at risk of or </w:t>
      </w:r>
      <w:r w:rsidRPr="004D2DF0">
        <w:rPr>
          <w:rFonts w:ascii="Palatino Linotype" w:hAnsi="Palatino Linotype"/>
          <w:spacing w:val="-10"/>
          <w:sz w:val="22"/>
          <w:szCs w:val="22"/>
        </w:rPr>
        <w:t xml:space="preserve">experiencing homelessness.  </w:t>
      </w:r>
    </w:p>
    <w:p w:rsidR="007D0EEC" w:rsidRDefault="007D0EEC" w:rsidP="00F836D6">
      <w:pPr>
        <w:spacing w:line="234" w:lineRule="auto"/>
        <w:ind w:firstLine="720"/>
        <w:jc w:val="both"/>
        <w:rPr>
          <w:rFonts w:ascii="Palatino Linotype" w:hAnsi="Palatino Linotype"/>
          <w:spacing w:val="-10"/>
          <w:sz w:val="22"/>
          <w:szCs w:val="22"/>
        </w:rPr>
      </w:pPr>
    </w:p>
    <w:p w:rsidR="00686FA0" w:rsidRDefault="007D0EEC" w:rsidP="007D0EEC">
      <w:pPr>
        <w:pStyle w:val="BodyText2"/>
        <w:ind w:firstLine="720"/>
        <w:rPr>
          <w:rFonts w:ascii="Palatino Linotype" w:hAnsi="Palatino Linotype"/>
          <w:b w:val="0"/>
          <w:spacing w:val="-10"/>
          <w:sz w:val="22"/>
          <w:szCs w:val="22"/>
        </w:rPr>
      </w:pPr>
      <w:r w:rsidRPr="007013A4">
        <w:rPr>
          <w:rFonts w:ascii="Palatino Linotype" w:hAnsi="Palatino Linotype"/>
          <w:b w:val="0"/>
          <w:spacing w:val="-10"/>
          <w:sz w:val="22"/>
          <w:szCs w:val="22"/>
        </w:rPr>
        <w:t xml:space="preserve">NCSHA </w:t>
      </w:r>
      <w:r w:rsidR="00343427" w:rsidRPr="007013A4">
        <w:rPr>
          <w:rFonts w:ascii="Palatino Linotype" w:hAnsi="Palatino Linotype"/>
          <w:b w:val="0"/>
          <w:spacing w:val="-10"/>
          <w:sz w:val="22"/>
          <w:szCs w:val="22"/>
        </w:rPr>
        <w:t>f</w:t>
      </w:r>
      <w:r w:rsidR="00F726B8" w:rsidRPr="007013A4">
        <w:rPr>
          <w:rFonts w:ascii="Palatino Linotype" w:hAnsi="Palatino Linotype"/>
          <w:b w:val="0"/>
          <w:spacing w:val="-10"/>
          <w:sz w:val="22"/>
          <w:szCs w:val="22"/>
        </w:rPr>
        <w:t>ocus</w:t>
      </w:r>
      <w:r w:rsidR="00343427" w:rsidRPr="007013A4">
        <w:rPr>
          <w:rFonts w:ascii="Palatino Linotype" w:hAnsi="Palatino Linotype"/>
          <w:b w:val="0"/>
          <w:spacing w:val="-10"/>
          <w:sz w:val="22"/>
          <w:szCs w:val="22"/>
        </w:rPr>
        <w:t xml:space="preserve">es its advocacy efforts </w:t>
      </w:r>
      <w:r w:rsidRPr="007013A4">
        <w:rPr>
          <w:rFonts w:ascii="Palatino Linotype" w:hAnsi="Palatino Linotype"/>
          <w:b w:val="0"/>
          <w:spacing w:val="-10"/>
          <w:sz w:val="22"/>
          <w:szCs w:val="22"/>
        </w:rPr>
        <w:t xml:space="preserve">in areas that present the greatest and </w:t>
      </w:r>
      <w:r w:rsidR="00F726B8" w:rsidRPr="007013A4">
        <w:rPr>
          <w:rFonts w:ascii="Palatino Linotype" w:hAnsi="Palatino Linotype"/>
          <w:b w:val="0"/>
          <w:spacing w:val="-10"/>
          <w:sz w:val="22"/>
          <w:szCs w:val="22"/>
        </w:rPr>
        <w:t>most immediate</w:t>
      </w:r>
      <w:r w:rsidR="008D164B">
        <w:rPr>
          <w:rFonts w:ascii="Palatino Linotype" w:hAnsi="Palatino Linotype"/>
          <w:b w:val="0"/>
          <w:spacing w:val="-10"/>
          <w:sz w:val="22"/>
          <w:szCs w:val="22"/>
        </w:rPr>
        <w:t xml:space="preserve"> </w:t>
      </w:r>
      <w:r w:rsidRPr="007013A4">
        <w:rPr>
          <w:rFonts w:ascii="Palatino Linotype" w:hAnsi="Palatino Linotype"/>
          <w:b w:val="0"/>
          <w:spacing w:val="-10"/>
          <w:sz w:val="22"/>
          <w:szCs w:val="22"/>
        </w:rPr>
        <w:t>o</w:t>
      </w:r>
      <w:r w:rsidR="00F726B8" w:rsidRPr="007013A4">
        <w:rPr>
          <w:rFonts w:ascii="Palatino Linotype" w:hAnsi="Palatino Linotype"/>
          <w:b w:val="0"/>
          <w:spacing w:val="-10"/>
          <w:sz w:val="22"/>
          <w:szCs w:val="22"/>
        </w:rPr>
        <w:t xml:space="preserve">pportunities and threats to the </w:t>
      </w:r>
      <w:r w:rsidR="00343427" w:rsidRPr="007013A4">
        <w:rPr>
          <w:rFonts w:ascii="Palatino Linotype" w:hAnsi="Palatino Linotype"/>
          <w:b w:val="0"/>
          <w:spacing w:val="-10"/>
          <w:sz w:val="22"/>
          <w:szCs w:val="22"/>
        </w:rPr>
        <w:t xml:space="preserve">advancement of its priorities.  </w:t>
      </w:r>
      <w:r w:rsidRPr="007013A4">
        <w:rPr>
          <w:rFonts w:ascii="Palatino Linotype" w:hAnsi="Palatino Linotype"/>
          <w:b w:val="0"/>
          <w:spacing w:val="-10"/>
          <w:sz w:val="22"/>
          <w:szCs w:val="22"/>
        </w:rPr>
        <w:t>In 201</w:t>
      </w:r>
      <w:r w:rsidR="00523808">
        <w:rPr>
          <w:rFonts w:ascii="Palatino Linotype" w:hAnsi="Palatino Linotype"/>
          <w:b w:val="0"/>
          <w:spacing w:val="-10"/>
          <w:sz w:val="22"/>
          <w:szCs w:val="22"/>
        </w:rPr>
        <w:t>6</w:t>
      </w:r>
      <w:r w:rsidRPr="007013A4">
        <w:rPr>
          <w:rFonts w:ascii="Palatino Linotype" w:hAnsi="Palatino Linotype"/>
          <w:b w:val="0"/>
          <w:spacing w:val="-10"/>
          <w:sz w:val="22"/>
          <w:szCs w:val="22"/>
        </w:rPr>
        <w:t xml:space="preserve">, NCSHA foresees </w:t>
      </w:r>
      <w:r w:rsidR="00F726B8" w:rsidRPr="007013A4">
        <w:rPr>
          <w:rFonts w:ascii="Palatino Linotype" w:hAnsi="Palatino Linotype"/>
          <w:b w:val="0"/>
          <w:spacing w:val="-10"/>
          <w:sz w:val="22"/>
          <w:szCs w:val="22"/>
        </w:rPr>
        <w:t xml:space="preserve">concentrating its </w:t>
      </w:r>
      <w:r w:rsidR="00343427" w:rsidRPr="007013A4">
        <w:rPr>
          <w:rFonts w:ascii="Palatino Linotype" w:hAnsi="Palatino Linotype"/>
          <w:b w:val="0"/>
          <w:spacing w:val="-10"/>
          <w:sz w:val="22"/>
          <w:szCs w:val="22"/>
        </w:rPr>
        <w:t xml:space="preserve">activities </w:t>
      </w:r>
      <w:r w:rsidR="00F726B8" w:rsidRPr="007013A4">
        <w:rPr>
          <w:rFonts w:ascii="Palatino Linotype" w:hAnsi="Palatino Linotype"/>
          <w:b w:val="0"/>
          <w:spacing w:val="-10"/>
          <w:sz w:val="22"/>
          <w:szCs w:val="22"/>
        </w:rPr>
        <w:t>on</w:t>
      </w:r>
      <w:r w:rsidR="00686FA0">
        <w:rPr>
          <w:rFonts w:ascii="Palatino Linotype" w:hAnsi="Palatino Linotype"/>
          <w:b w:val="0"/>
          <w:spacing w:val="-10"/>
          <w:sz w:val="22"/>
          <w:szCs w:val="22"/>
        </w:rPr>
        <w:t>:</w:t>
      </w:r>
      <w:r w:rsidR="00F726B8" w:rsidRPr="007013A4">
        <w:rPr>
          <w:rFonts w:ascii="Palatino Linotype" w:hAnsi="Palatino Linotype"/>
          <w:b w:val="0"/>
          <w:spacing w:val="-10"/>
          <w:sz w:val="22"/>
          <w:szCs w:val="22"/>
        </w:rPr>
        <w:t xml:space="preserve"> </w:t>
      </w:r>
    </w:p>
    <w:p w:rsidR="00686FA0" w:rsidRDefault="00686FA0" w:rsidP="007D0EEC">
      <w:pPr>
        <w:pStyle w:val="BodyText2"/>
        <w:ind w:firstLine="720"/>
        <w:rPr>
          <w:rFonts w:ascii="Palatino Linotype" w:hAnsi="Palatino Linotype"/>
          <w:b w:val="0"/>
          <w:spacing w:val="-10"/>
          <w:sz w:val="22"/>
          <w:szCs w:val="22"/>
        </w:rPr>
      </w:pPr>
    </w:p>
    <w:p w:rsidR="00686FA0" w:rsidRDefault="00686FA0" w:rsidP="00686FA0">
      <w:pPr>
        <w:pStyle w:val="BodyText2"/>
        <w:numPr>
          <w:ilvl w:val="0"/>
          <w:numId w:val="15"/>
        </w:numPr>
        <w:rPr>
          <w:rFonts w:ascii="Palatino Linotype" w:hAnsi="Palatino Linotype"/>
          <w:b w:val="0"/>
          <w:spacing w:val="-10"/>
          <w:sz w:val="22"/>
          <w:szCs w:val="22"/>
        </w:rPr>
      </w:pPr>
      <w:r>
        <w:rPr>
          <w:rFonts w:ascii="Palatino Linotype" w:hAnsi="Palatino Linotype"/>
          <w:b w:val="0"/>
          <w:spacing w:val="-10"/>
          <w:sz w:val="22"/>
          <w:szCs w:val="22"/>
        </w:rPr>
        <w:t>P</w:t>
      </w:r>
      <w:r w:rsidR="00F726B8" w:rsidRPr="007013A4">
        <w:rPr>
          <w:rFonts w:ascii="Palatino Linotype" w:hAnsi="Palatino Linotype"/>
          <w:b w:val="0"/>
          <w:spacing w:val="-10"/>
          <w:sz w:val="22"/>
          <w:szCs w:val="22"/>
        </w:rPr>
        <w:t xml:space="preserve">reserving and strengthening the Low Income Housing Tax Credit and private activity tax-exempt Housing Bonds in tax reform </w:t>
      </w:r>
      <w:r w:rsidR="00BE3503" w:rsidRPr="007013A4">
        <w:rPr>
          <w:rFonts w:ascii="Palatino Linotype" w:hAnsi="Palatino Linotype"/>
          <w:b w:val="0"/>
          <w:spacing w:val="-10"/>
          <w:sz w:val="22"/>
          <w:szCs w:val="22"/>
        </w:rPr>
        <w:t xml:space="preserve">and </w:t>
      </w:r>
      <w:r w:rsidR="00F726B8" w:rsidRPr="007013A4">
        <w:rPr>
          <w:rFonts w:ascii="Palatino Linotype" w:hAnsi="Palatino Linotype"/>
          <w:b w:val="0"/>
          <w:spacing w:val="-10"/>
          <w:sz w:val="22"/>
          <w:szCs w:val="22"/>
        </w:rPr>
        <w:t>other tax</w:t>
      </w:r>
      <w:r w:rsidR="00BE3503" w:rsidRPr="007013A4">
        <w:rPr>
          <w:rFonts w:ascii="Palatino Linotype" w:hAnsi="Palatino Linotype"/>
          <w:b w:val="0"/>
          <w:spacing w:val="-10"/>
          <w:sz w:val="22"/>
          <w:szCs w:val="22"/>
        </w:rPr>
        <w:t xml:space="preserve"> legislation</w:t>
      </w:r>
      <w:r>
        <w:rPr>
          <w:rFonts w:ascii="Palatino Linotype" w:hAnsi="Palatino Linotype"/>
          <w:b w:val="0"/>
          <w:spacing w:val="-10"/>
          <w:sz w:val="22"/>
          <w:szCs w:val="22"/>
        </w:rPr>
        <w:t>;</w:t>
      </w:r>
      <w:r w:rsidR="00F726B8" w:rsidRPr="007013A4">
        <w:rPr>
          <w:rFonts w:ascii="Palatino Linotype" w:hAnsi="Palatino Linotype"/>
          <w:b w:val="0"/>
          <w:spacing w:val="-10"/>
          <w:sz w:val="22"/>
          <w:szCs w:val="22"/>
        </w:rPr>
        <w:t xml:space="preserve"> </w:t>
      </w:r>
    </w:p>
    <w:p w:rsidR="00686FA0" w:rsidRDefault="00686FA0" w:rsidP="00686FA0">
      <w:pPr>
        <w:pStyle w:val="BodyText2"/>
        <w:ind w:left="1080"/>
        <w:rPr>
          <w:rFonts w:ascii="Palatino Linotype" w:hAnsi="Palatino Linotype"/>
          <w:b w:val="0"/>
          <w:spacing w:val="-10"/>
          <w:sz w:val="22"/>
          <w:szCs w:val="22"/>
        </w:rPr>
      </w:pPr>
    </w:p>
    <w:p w:rsidR="00686FA0" w:rsidRDefault="00686FA0" w:rsidP="00686FA0">
      <w:pPr>
        <w:pStyle w:val="BodyText2"/>
        <w:numPr>
          <w:ilvl w:val="0"/>
          <w:numId w:val="15"/>
        </w:numPr>
        <w:rPr>
          <w:rFonts w:ascii="Palatino Linotype" w:hAnsi="Palatino Linotype"/>
          <w:b w:val="0"/>
          <w:spacing w:val="-10"/>
          <w:sz w:val="22"/>
          <w:szCs w:val="22"/>
        </w:rPr>
      </w:pPr>
      <w:r>
        <w:rPr>
          <w:rFonts w:ascii="Palatino Linotype" w:hAnsi="Palatino Linotype"/>
          <w:b w:val="0"/>
          <w:spacing w:val="-10"/>
          <w:sz w:val="22"/>
          <w:szCs w:val="22"/>
        </w:rPr>
        <w:t>P</w:t>
      </w:r>
      <w:r w:rsidR="00F726B8" w:rsidRPr="007013A4">
        <w:rPr>
          <w:rFonts w:ascii="Palatino Linotype" w:hAnsi="Palatino Linotype"/>
          <w:b w:val="0"/>
          <w:spacing w:val="-10"/>
          <w:sz w:val="22"/>
          <w:szCs w:val="22"/>
        </w:rPr>
        <w:t xml:space="preserve">rotecting </w:t>
      </w:r>
      <w:r w:rsidR="00A23C4E">
        <w:rPr>
          <w:rFonts w:ascii="Palatino Linotype" w:hAnsi="Palatino Linotype"/>
          <w:b w:val="0"/>
          <w:spacing w:val="-10"/>
          <w:sz w:val="22"/>
          <w:szCs w:val="22"/>
        </w:rPr>
        <w:t>and restoring funding for the HOME</w:t>
      </w:r>
      <w:r w:rsidR="00F726B8" w:rsidRPr="007013A4">
        <w:rPr>
          <w:rFonts w:ascii="Palatino Linotype" w:hAnsi="Palatino Linotype"/>
          <w:b w:val="0"/>
          <w:spacing w:val="-10"/>
          <w:sz w:val="22"/>
          <w:szCs w:val="22"/>
        </w:rPr>
        <w:t xml:space="preserve"> Investment Partnerships </w:t>
      </w:r>
      <w:r w:rsidR="00BE3503" w:rsidRPr="007013A4">
        <w:rPr>
          <w:rFonts w:ascii="Palatino Linotype" w:hAnsi="Palatino Linotype"/>
          <w:b w:val="0"/>
          <w:spacing w:val="-10"/>
          <w:sz w:val="22"/>
          <w:szCs w:val="22"/>
        </w:rPr>
        <w:t xml:space="preserve">and Section 8 </w:t>
      </w:r>
      <w:r>
        <w:rPr>
          <w:rFonts w:ascii="Palatino Linotype" w:hAnsi="Palatino Linotype"/>
          <w:b w:val="0"/>
          <w:spacing w:val="-10"/>
          <w:sz w:val="22"/>
          <w:szCs w:val="22"/>
        </w:rPr>
        <w:t xml:space="preserve">programs </w:t>
      </w:r>
      <w:r w:rsidR="00343427" w:rsidRPr="007013A4">
        <w:rPr>
          <w:rFonts w:ascii="Palatino Linotype" w:hAnsi="Palatino Linotype"/>
          <w:b w:val="0"/>
          <w:spacing w:val="-10"/>
          <w:sz w:val="22"/>
          <w:szCs w:val="22"/>
        </w:rPr>
        <w:t>in the appropriations process</w:t>
      </w:r>
      <w:r>
        <w:rPr>
          <w:rFonts w:ascii="Palatino Linotype" w:hAnsi="Palatino Linotype"/>
          <w:b w:val="0"/>
          <w:spacing w:val="-10"/>
          <w:sz w:val="22"/>
          <w:szCs w:val="22"/>
        </w:rPr>
        <w:t>;</w:t>
      </w:r>
      <w:r w:rsidR="00F726B8" w:rsidRPr="007013A4">
        <w:rPr>
          <w:rFonts w:ascii="Palatino Linotype" w:hAnsi="Palatino Linotype"/>
          <w:b w:val="0"/>
          <w:spacing w:val="-10"/>
          <w:sz w:val="22"/>
          <w:szCs w:val="22"/>
        </w:rPr>
        <w:t xml:space="preserve"> and </w:t>
      </w:r>
    </w:p>
    <w:p w:rsidR="00686FA0" w:rsidRDefault="00686FA0" w:rsidP="00686FA0">
      <w:pPr>
        <w:pStyle w:val="ListParagraph"/>
        <w:rPr>
          <w:rFonts w:ascii="Palatino Linotype" w:hAnsi="Palatino Linotype"/>
          <w:b/>
          <w:spacing w:val="-10"/>
          <w:sz w:val="22"/>
          <w:szCs w:val="22"/>
        </w:rPr>
      </w:pPr>
    </w:p>
    <w:p w:rsidR="007D0EEC" w:rsidRPr="007013A4" w:rsidRDefault="00686FA0" w:rsidP="00686FA0">
      <w:pPr>
        <w:pStyle w:val="BodyText2"/>
        <w:numPr>
          <w:ilvl w:val="0"/>
          <w:numId w:val="15"/>
        </w:numPr>
        <w:rPr>
          <w:rFonts w:ascii="Palatino Linotype" w:hAnsi="Palatino Linotype"/>
          <w:b w:val="0"/>
          <w:spacing w:val="-10"/>
          <w:sz w:val="22"/>
          <w:szCs w:val="22"/>
        </w:rPr>
      </w:pPr>
      <w:r>
        <w:rPr>
          <w:rFonts w:ascii="Palatino Linotype" w:hAnsi="Palatino Linotype"/>
          <w:b w:val="0"/>
          <w:spacing w:val="-10"/>
          <w:sz w:val="22"/>
          <w:szCs w:val="22"/>
        </w:rPr>
        <w:t xml:space="preserve">Establishing HFAs as </w:t>
      </w:r>
      <w:r w:rsidR="00F726B8" w:rsidRPr="007013A4">
        <w:rPr>
          <w:rFonts w:ascii="Palatino Linotype" w:hAnsi="Palatino Linotype"/>
          <w:b w:val="0"/>
          <w:spacing w:val="-10"/>
          <w:sz w:val="22"/>
          <w:szCs w:val="22"/>
        </w:rPr>
        <w:t>preferred partner</w:t>
      </w:r>
      <w:r>
        <w:rPr>
          <w:rFonts w:ascii="Palatino Linotype" w:hAnsi="Palatino Linotype"/>
          <w:b w:val="0"/>
          <w:spacing w:val="-10"/>
          <w:sz w:val="22"/>
          <w:szCs w:val="22"/>
        </w:rPr>
        <w:t>s</w:t>
      </w:r>
      <w:r w:rsidR="00F726B8" w:rsidRPr="007013A4">
        <w:rPr>
          <w:rFonts w:ascii="Palatino Linotype" w:hAnsi="Palatino Linotype"/>
          <w:b w:val="0"/>
          <w:spacing w:val="-10"/>
          <w:sz w:val="22"/>
          <w:szCs w:val="22"/>
        </w:rPr>
        <w:t xml:space="preserve"> and </w:t>
      </w:r>
      <w:r>
        <w:rPr>
          <w:rFonts w:ascii="Palatino Linotype" w:hAnsi="Palatino Linotype"/>
          <w:b w:val="0"/>
          <w:spacing w:val="-10"/>
          <w:sz w:val="22"/>
          <w:szCs w:val="22"/>
        </w:rPr>
        <w:t xml:space="preserve">the </w:t>
      </w:r>
      <w:r w:rsidR="00F726B8" w:rsidRPr="007013A4">
        <w:rPr>
          <w:rFonts w:ascii="Palatino Linotype" w:hAnsi="Palatino Linotype"/>
          <w:b w:val="0"/>
          <w:spacing w:val="-10"/>
          <w:sz w:val="22"/>
          <w:szCs w:val="22"/>
        </w:rPr>
        <w:t xml:space="preserve">primary affordable housing delivery </w:t>
      </w:r>
      <w:r w:rsidR="00BE3503" w:rsidRPr="007013A4">
        <w:rPr>
          <w:rFonts w:ascii="Palatino Linotype" w:hAnsi="Palatino Linotype"/>
          <w:b w:val="0"/>
          <w:spacing w:val="-10"/>
          <w:sz w:val="22"/>
          <w:szCs w:val="22"/>
        </w:rPr>
        <w:t xml:space="preserve">vehicle </w:t>
      </w:r>
      <w:r w:rsidR="004B60A7" w:rsidRPr="007013A4">
        <w:rPr>
          <w:rFonts w:ascii="Palatino Linotype" w:hAnsi="Palatino Linotype"/>
          <w:b w:val="0"/>
          <w:spacing w:val="-10"/>
          <w:sz w:val="22"/>
          <w:szCs w:val="22"/>
        </w:rPr>
        <w:t xml:space="preserve">within the system that </w:t>
      </w:r>
      <w:r>
        <w:rPr>
          <w:rFonts w:ascii="Palatino Linotype" w:hAnsi="Palatino Linotype"/>
          <w:b w:val="0"/>
          <w:spacing w:val="-10"/>
          <w:sz w:val="22"/>
          <w:szCs w:val="22"/>
        </w:rPr>
        <w:t>federal housing finance reform produces.</w:t>
      </w:r>
    </w:p>
    <w:p w:rsidR="00F726B8" w:rsidRPr="00DF44C4" w:rsidRDefault="00F726B8" w:rsidP="007D0EEC">
      <w:pPr>
        <w:pStyle w:val="BodyText2"/>
        <w:ind w:firstLine="720"/>
        <w:rPr>
          <w:rFonts w:ascii="Palatino Linotype" w:hAnsi="Palatino Linotype"/>
          <w:b w:val="0"/>
          <w:spacing w:val="-10"/>
          <w:sz w:val="22"/>
          <w:szCs w:val="22"/>
          <w:highlight w:val="lightGray"/>
        </w:rPr>
      </w:pPr>
    </w:p>
    <w:p w:rsidR="00BF0ED8" w:rsidRPr="00B9676A" w:rsidRDefault="00155033" w:rsidP="00F836D6">
      <w:pPr>
        <w:spacing w:line="234" w:lineRule="auto"/>
        <w:ind w:firstLine="720"/>
        <w:jc w:val="both"/>
        <w:rPr>
          <w:rFonts w:ascii="Palatino Linotype" w:hAnsi="Palatino Linotype"/>
          <w:spacing w:val="-10"/>
          <w:sz w:val="22"/>
          <w:szCs w:val="22"/>
        </w:rPr>
      </w:pPr>
      <w:r>
        <w:rPr>
          <w:rFonts w:ascii="Palatino Linotype" w:hAnsi="Palatino Linotype"/>
          <w:spacing w:val="-10"/>
          <w:sz w:val="22"/>
          <w:szCs w:val="22"/>
        </w:rPr>
        <w:t xml:space="preserve">NCSHA </w:t>
      </w:r>
      <w:r w:rsidR="0081323A">
        <w:rPr>
          <w:rFonts w:ascii="Palatino Linotype" w:hAnsi="Palatino Linotype"/>
          <w:spacing w:val="-10"/>
          <w:sz w:val="22"/>
          <w:szCs w:val="22"/>
        </w:rPr>
        <w:t xml:space="preserve">also </w:t>
      </w:r>
      <w:r>
        <w:rPr>
          <w:rFonts w:ascii="Palatino Linotype" w:hAnsi="Palatino Linotype"/>
          <w:spacing w:val="-10"/>
          <w:sz w:val="22"/>
          <w:szCs w:val="22"/>
        </w:rPr>
        <w:t xml:space="preserve">supports efforts to streamline, better coordinate, and realign federal housing programs to </w:t>
      </w:r>
      <w:r w:rsidR="0081323A">
        <w:rPr>
          <w:rFonts w:ascii="Palatino Linotype" w:hAnsi="Palatino Linotype"/>
          <w:spacing w:val="-10"/>
          <w:sz w:val="22"/>
          <w:szCs w:val="22"/>
        </w:rPr>
        <w:t xml:space="preserve">increase their effectiveness and </w:t>
      </w:r>
      <w:r>
        <w:rPr>
          <w:rFonts w:ascii="Palatino Linotype" w:hAnsi="Palatino Linotype"/>
          <w:spacing w:val="-10"/>
          <w:sz w:val="22"/>
          <w:szCs w:val="22"/>
        </w:rPr>
        <w:t xml:space="preserve">simplify state and user </w:t>
      </w:r>
      <w:r w:rsidRPr="00B9676A">
        <w:rPr>
          <w:rFonts w:ascii="Palatino Linotype" w:hAnsi="Palatino Linotype"/>
          <w:spacing w:val="-10"/>
          <w:sz w:val="22"/>
          <w:szCs w:val="22"/>
        </w:rPr>
        <w:t>administration of them.</w:t>
      </w:r>
      <w:r w:rsidR="00C16692" w:rsidRPr="00B9676A">
        <w:rPr>
          <w:rFonts w:ascii="Palatino Linotype" w:hAnsi="Palatino Linotype"/>
          <w:spacing w:val="-10"/>
          <w:sz w:val="22"/>
          <w:szCs w:val="22"/>
        </w:rPr>
        <w:t xml:space="preserve">  </w:t>
      </w:r>
      <w:r w:rsidR="00B117F3" w:rsidRPr="00B9676A">
        <w:rPr>
          <w:rFonts w:ascii="Palatino Linotype" w:hAnsi="Palatino Linotype"/>
          <w:bCs/>
          <w:spacing w:val="-10"/>
          <w:sz w:val="22"/>
          <w:szCs w:val="22"/>
        </w:rPr>
        <w:t xml:space="preserve">In addition, </w:t>
      </w:r>
      <w:r w:rsidR="00C16692" w:rsidRPr="00B9676A">
        <w:rPr>
          <w:rFonts w:ascii="Palatino Linotype" w:hAnsi="Palatino Linotype"/>
          <w:spacing w:val="-10"/>
          <w:sz w:val="22"/>
          <w:szCs w:val="22"/>
        </w:rPr>
        <w:t xml:space="preserve">NCSHA </w:t>
      </w:r>
      <w:r w:rsidR="00B117F3" w:rsidRPr="00B9676A">
        <w:rPr>
          <w:rFonts w:ascii="Palatino Linotype" w:hAnsi="Palatino Linotype"/>
          <w:bCs/>
          <w:spacing w:val="-10"/>
          <w:sz w:val="22"/>
          <w:szCs w:val="22"/>
        </w:rPr>
        <w:t>seeks maximum</w:t>
      </w:r>
      <w:r w:rsidR="00C16692" w:rsidRPr="00B9676A">
        <w:rPr>
          <w:rFonts w:ascii="Palatino Linotype" w:hAnsi="Palatino Linotype"/>
          <w:spacing w:val="-10"/>
          <w:sz w:val="22"/>
          <w:szCs w:val="22"/>
        </w:rPr>
        <w:t xml:space="preserve"> flexibility </w:t>
      </w:r>
      <w:r w:rsidR="00B117F3" w:rsidRPr="00B9676A">
        <w:rPr>
          <w:rFonts w:ascii="Palatino Linotype" w:hAnsi="Palatino Linotype"/>
          <w:bCs/>
          <w:spacing w:val="-10"/>
          <w:sz w:val="22"/>
          <w:szCs w:val="22"/>
        </w:rPr>
        <w:t xml:space="preserve">for states to </w:t>
      </w:r>
      <w:r w:rsidR="00C16692" w:rsidRPr="00B9676A">
        <w:rPr>
          <w:rFonts w:ascii="Palatino Linotype" w:hAnsi="Palatino Linotype"/>
          <w:spacing w:val="-10"/>
          <w:sz w:val="22"/>
          <w:szCs w:val="22"/>
        </w:rPr>
        <w:t>administe</w:t>
      </w:r>
      <w:r w:rsidR="00B117F3" w:rsidRPr="00B9676A">
        <w:rPr>
          <w:rFonts w:ascii="Palatino Linotype" w:hAnsi="Palatino Linotype"/>
          <w:bCs/>
          <w:spacing w:val="-10"/>
          <w:sz w:val="22"/>
          <w:szCs w:val="22"/>
        </w:rPr>
        <w:t>r</w:t>
      </w:r>
      <w:r w:rsidR="00C16692" w:rsidRPr="00B9676A">
        <w:rPr>
          <w:rFonts w:ascii="Palatino Linotype" w:hAnsi="Palatino Linotype"/>
          <w:spacing w:val="-10"/>
          <w:sz w:val="22"/>
          <w:szCs w:val="22"/>
        </w:rPr>
        <w:t xml:space="preserve"> the resources entrusted to them </w:t>
      </w:r>
      <w:r w:rsidR="00B117F3" w:rsidRPr="00B9676A">
        <w:rPr>
          <w:rFonts w:ascii="Palatino Linotype" w:hAnsi="Palatino Linotype"/>
          <w:bCs/>
          <w:spacing w:val="-10"/>
          <w:sz w:val="22"/>
          <w:szCs w:val="22"/>
        </w:rPr>
        <w:t xml:space="preserve">in a manner </w:t>
      </w:r>
      <w:r w:rsidR="00BF0ED8" w:rsidRPr="00B9676A">
        <w:rPr>
          <w:rFonts w:ascii="Palatino Linotype" w:hAnsi="Palatino Linotype"/>
          <w:spacing w:val="-10"/>
          <w:sz w:val="22"/>
          <w:szCs w:val="22"/>
        </w:rPr>
        <w:t xml:space="preserve">responsive to their </w:t>
      </w:r>
      <w:r w:rsidR="00B117F3" w:rsidRPr="00B9676A">
        <w:rPr>
          <w:rFonts w:ascii="Palatino Linotype" w:hAnsi="Palatino Linotype"/>
          <w:spacing w:val="-10"/>
          <w:sz w:val="22"/>
          <w:szCs w:val="22"/>
        </w:rPr>
        <w:t xml:space="preserve">unique </w:t>
      </w:r>
      <w:r w:rsidR="00BF0ED8" w:rsidRPr="00B9676A">
        <w:rPr>
          <w:rFonts w:ascii="Palatino Linotype" w:hAnsi="Palatino Linotype"/>
          <w:spacing w:val="-10"/>
          <w:sz w:val="22"/>
          <w:szCs w:val="22"/>
        </w:rPr>
        <w:t>needs and circumstances</w:t>
      </w:r>
      <w:r w:rsidR="00ED47F5">
        <w:rPr>
          <w:rFonts w:ascii="Palatino Linotype" w:hAnsi="Palatino Linotype"/>
          <w:spacing w:val="-10"/>
          <w:sz w:val="22"/>
          <w:szCs w:val="22"/>
        </w:rPr>
        <w:t xml:space="preserve">, including through the federal </w:t>
      </w:r>
      <w:r w:rsidR="009022FA">
        <w:rPr>
          <w:rFonts w:ascii="Palatino Linotype" w:hAnsi="Palatino Linotype"/>
          <w:spacing w:val="-10"/>
          <w:sz w:val="22"/>
          <w:szCs w:val="22"/>
        </w:rPr>
        <w:t xml:space="preserve">Interagency </w:t>
      </w:r>
      <w:r w:rsidR="00ED47F5">
        <w:rPr>
          <w:rFonts w:ascii="Palatino Linotype" w:hAnsi="Palatino Linotype"/>
          <w:spacing w:val="-10"/>
          <w:sz w:val="22"/>
          <w:szCs w:val="22"/>
        </w:rPr>
        <w:t xml:space="preserve">Physical Inspection </w:t>
      </w:r>
      <w:r w:rsidR="009022FA">
        <w:rPr>
          <w:rFonts w:ascii="Palatino Linotype" w:hAnsi="Palatino Linotype"/>
          <w:spacing w:val="-10"/>
          <w:sz w:val="22"/>
          <w:szCs w:val="22"/>
        </w:rPr>
        <w:t xml:space="preserve">Alignment </w:t>
      </w:r>
      <w:r w:rsidR="006D26E6">
        <w:rPr>
          <w:rFonts w:ascii="Palatino Linotype" w:hAnsi="Palatino Linotype"/>
          <w:spacing w:val="-10"/>
          <w:sz w:val="22"/>
          <w:szCs w:val="22"/>
        </w:rPr>
        <w:t>P</w:t>
      </w:r>
      <w:r w:rsidR="00ED47F5">
        <w:rPr>
          <w:rFonts w:ascii="Palatino Linotype" w:hAnsi="Palatino Linotype"/>
          <w:spacing w:val="-10"/>
          <w:sz w:val="22"/>
          <w:szCs w:val="22"/>
        </w:rPr>
        <w:t>ilot program and similar initiatives</w:t>
      </w:r>
      <w:r w:rsidR="00BF0ED8" w:rsidRPr="00B9676A">
        <w:rPr>
          <w:rFonts w:ascii="Palatino Linotype" w:hAnsi="Palatino Linotype"/>
          <w:spacing w:val="-10"/>
          <w:sz w:val="22"/>
          <w:szCs w:val="22"/>
        </w:rPr>
        <w:t>.</w:t>
      </w:r>
    </w:p>
    <w:p w:rsidR="00B9676A" w:rsidRPr="00192EFB" w:rsidRDefault="00B9676A" w:rsidP="00BF0ED8">
      <w:pPr>
        <w:spacing w:line="234" w:lineRule="auto"/>
        <w:jc w:val="both"/>
        <w:rPr>
          <w:rFonts w:ascii="Palatino Linotype" w:hAnsi="Palatino Linotype"/>
          <w:spacing w:val="-10"/>
          <w:sz w:val="22"/>
          <w:szCs w:val="22"/>
        </w:rPr>
      </w:pPr>
    </w:p>
    <w:p w:rsidR="004C69F8" w:rsidRDefault="00343427" w:rsidP="008D164B">
      <w:pPr>
        <w:pStyle w:val="BodyText2"/>
        <w:ind w:firstLine="720"/>
        <w:rPr>
          <w:rFonts w:ascii="Palatino Linotype" w:hAnsi="Palatino Linotype"/>
          <w:b w:val="0"/>
          <w:spacing w:val="-10"/>
          <w:sz w:val="22"/>
          <w:szCs w:val="22"/>
        </w:rPr>
      </w:pPr>
      <w:r>
        <w:rPr>
          <w:rFonts w:ascii="Palatino Linotype" w:hAnsi="Palatino Linotype"/>
          <w:b w:val="0"/>
          <w:spacing w:val="-10"/>
          <w:sz w:val="22"/>
          <w:szCs w:val="22"/>
        </w:rPr>
        <w:t xml:space="preserve">To accomplish its goals, </w:t>
      </w:r>
      <w:r w:rsidR="0042067C" w:rsidRPr="009022FA">
        <w:rPr>
          <w:rFonts w:ascii="Palatino Linotype" w:hAnsi="Palatino Linotype"/>
          <w:b w:val="0"/>
          <w:spacing w:val="-10"/>
          <w:sz w:val="22"/>
          <w:szCs w:val="22"/>
        </w:rPr>
        <w:t xml:space="preserve">NCSHA and its member HFAs </w:t>
      </w:r>
      <w:r>
        <w:rPr>
          <w:rFonts w:ascii="Palatino Linotype" w:hAnsi="Palatino Linotype"/>
          <w:b w:val="0"/>
          <w:spacing w:val="-10"/>
          <w:sz w:val="22"/>
          <w:szCs w:val="22"/>
        </w:rPr>
        <w:t xml:space="preserve">understand how important it is to communicate regularly and consistently with </w:t>
      </w:r>
      <w:r w:rsidR="0042067C" w:rsidRPr="009022FA">
        <w:rPr>
          <w:rFonts w:ascii="Palatino Linotype" w:hAnsi="Palatino Linotype"/>
          <w:b w:val="0"/>
          <w:spacing w:val="-10"/>
          <w:sz w:val="22"/>
          <w:szCs w:val="22"/>
        </w:rPr>
        <w:t>elected officials, federal policymakers, and opinion leaders the unique role HFAs</w:t>
      </w:r>
      <w:r w:rsidR="0042067C">
        <w:rPr>
          <w:rFonts w:ascii="Palatino Linotype" w:hAnsi="Palatino Linotype"/>
          <w:b w:val="0"/>
          <w:spacing w:val="-10"/>
          <w:sz w:val="22"/>
          <w:szCs w:val="22"/>
        </w:rPr>
        <w:t xml:space="preserve"> play</w:t>
      </w:r>
      <w:r w:rsidR="0042067C" w:rsidRPr="009022FA">
        <w:rPr>
          <w:rFonts w:ascii="Palatino Linotype" w:hAnsi="Palatino Linotype"/>
          <w:b w:val="0"/>
          <w:spacing w:val="-10"/>
          <w:sz w:val="22"/>
          <w:szCs w:val="22"/>
        </w:rPr>
        <w:t xml:space="preserve"> in the nation’s housing finance system and </w:t>
      </w:r>
      <w:r>
        <w:rPr>
          <w:rFonts w:ascii="Palatino Linotype" w:hAnsi="Palatino Linotype"/>
          <w:b w:val="0"/>
          <w:spacing w:val="-10"/>
          <w:sz w:val="22"/>
          <w:szCs w:val="22"/>
        </w:rPr>
        <w:t xml:space="preserve">the importance of their </w:t>
      </w:r>
      <w:r w:rsidR="0042067C" w:rsidRPr="009022FA">
        <w:rPr>
          <w:rFonts w:ascii="Palatino Linotype" w:hAnsi="Palatino Linotype"/>
          <w:b w:val="0"/>
          <w:spacing w:val="-10"/>
          <w:sz w:val="22"/>
          <w:szCs w:val="22"/>
        </w:rPr>
        <w:t xml:space="preserve">support for </w:t>
      </w:r>
      <w:r w:rsidR="0042067C">
        <w:rPr>
          <w:rFonts w:ascii="Palatino Linotype" w:hAnsi="Palatino Linotype"/>
          <w:b w:val="0"/>
          <w:spacing w:val="-10"/>
          <w:sz w:val="22"/>
          <w:szCs w:val="22"/>
        </w:rPr>
        <w:t>a central role for</w:t>
      </w:r>
      <w:r w:rsidR="0042067C" w:rsidRPr="009022FA">
        <w:rPr>
          <w:rFonts w:ascii="Palatino Linotype" w:hAnsi="Palatino Linotype"/>
          <w:b w:val="0"/>
          <w:spacing w:val="-10"/>
          <w:sz w:val="22"/>
          <w:szCs w:val="22"/>
        </w:rPr>
        <w:t xml:space="preserve"> HFAs in the </w:t>
      </w:r>
      <w:r w:rsidR="0042067C">
        <w:rPr>
          <w:rFonts w:ascii="Palatino Linotype" w:hAnsi="Palatino Linotype"/>
          <w:b w:val="0"/>
          <w:spacing w:val="-10"/>
          <w:sz w:val="22"/>
          <w:szCs w:val="22"/>
        </w:rPr>
        <w:t>financing of affordable housing and the delivery of federal housing resources</w:t>
      </w:r>
      <w:r w:rsidR="0042067C" w:rsidRPr="009022FA">
        <w:rPr>
          <w:rFonts w:ascii="Palatino Linotype" w:hAnsi="Palatino Linotype"/>
          <w:b w:val="0"/>
          <w:spacing w:val="-10"/>
          <w:sz w:val="22"/>
          <w:szCs w:val="22"/>
        </w:rPr>
        <w:t>.</w:t>
      </w:r>
      <w:r w:rsidR="0042067C">
        <w:rPr>
          <w:rFonts w:ascii="Palatino Linotype" w:hAnsi="Palatino Linotype"/>
          <w:b w:val="0"/>
          <w:spacing w:val="-10"/>
          <w:sz w:val="22"/>
          <w:szCs w:val="22"/>
        </w:rPr>
        <w:t xml:space="preserve"> </w:t>
      </w:r>
      <w:r w:rsidR="0042067C" w:rsidRPr="009022FA">
        <w:rPr>
          <w:rFonts w:ascii="Palatino Linotype" w:hAnsi="Palatino Linotype"/>
          <w:b w:val="0"/>
          <w:spacing w:val="-10"/>
          <w:sz w:val="22"/>
          <w:szCs w:val="22"/>
        </w:rPr>
        <w:t xml:space="preserve"> </w:t>
      </w:r>
      <w:r w:rsidR="0042067C">
        <w:rPr>
          <w:rFonts w:ascii="Palatino Linotype" w:hAnsi="Palatino Linotype"/>
          <w:b w:val="0"/>
          <w:bCs w:val="0"/>
          <w:spacing w:val="-10"/>
          <w:sz w:val="22"/>
          <w:szCs w:val="22"/>
        </w:rPr>
        <w:t xml:space="preserve">NCSHA’s </w:t>
      </w:r>
      <w:r w:rsidR="0042067C" w:rsidRPr="00A36F1B">
        <w:rPr>
          <w:rFonts w:ascii="Palatino Linotype" w:hAnsi="Palatino Linotype"/>
          <w:b w:val="0"/>
          <w:bCs w:val="0"/>
          <w:spacing w:val="-10"/>
          <w:sz w:val="22"/>
          <w:szCs w:val="22"/>
        </w:rPr>
        <w:t>member HFAs recognize</w:t>
      </w:r>
      <w:r w:rsidR="0042067C" w:rsidRPr="00A36F1B">
        <w:rPr>
          <w:rFonts w:ascii="Palatino Linotype" w:hAnsi="Palatino Linotype" w:cs="Tahoma"/>
          <w:b w:val="0"/>
          <w:spacing w:val="-10"/>
          <w:sz w:val="22"/>
          <w:szCs w:val="22"/>
        </w:rPr>
        <w:t xml:space="preserve"> their responsibility to engage actively in the pursuit of </w:t>
      </w:r>
      <w:r w:rsidR="0042067C">
        <w:rPr>
          <w:rFonts w:ascii="Palatino Linotype" w:hAnsi="Palatino Linotype" w:cs="Tahoma"/>
          <w:b w:val="0"/>
          <w:spacing w:val="-10"/>
          <w:sz w:val="22"/>
          <w:szCs w:val="22"/>
        </w:rPr>
        <w:t xml:space="preserve">congressional support for </w:t>
      </w:r>
      <w:r w:rsidR="0042067C" w:rsidRPr="00A36F1B">
        <w:rPr>
          <w:rFonts w:ascii="Palatino Linotype" w:hAnsi="Palatino Linotype" w:cs="Tahoma"/>
          <w:b w:val="0"/>
          <w:spacing w:val="-10"/>
          <w:sz w:val="22"/>
          <w:szCs w:val="22"/>
        </w:rPr>
        <w:t>NCSHA’s priorities</w:t>
      </w:r>
      <w:r w:rsidR="0042067C">
        <w:rPr>
          <w:rFonts w:ascii="Palatino Linotype" w:hAnsi="Palatino Linotype" w:cs="Tahoma"/>
          <w:b w:val="0"/>
          <w:spacing w:val="-10"/>
          <w:sz w:val="22"/>
          <w:szCs w:val="22"/>
        </w:rPr>
        <w:t xml:space="preserve"> as articulated in </w:t>
      </w:r>
      <w:r w:rsidR="001358AB">
        <w:rPr>
          <w:rFonts w:ascii="Palatino Linotype" w:hAnsi="Palatino Linotype" w:cs="Tahoma"/>
          <w:b w:val="0"/>
          <w:spacing w:val="-10"/>
          <w:sz w:val="22"/>
          <w:szCs w:val="22"/>
        </w:rPr>
        <w:t>t</w:t>
      </w:r>
      <w:r w:rsidR="0042067C">
        <w:rPr>
          <w:rFonts w:ascii="Palatino Linotype" w:hAnsi="Palatino Linotype" w:cs="Tahoma"/>
          <w:b w:val="0"/>
          <w:spacing w:val="-10"/>
          <w:sz w:val="22"/>
          <w:szCs w:val="22"/>
        </w:rPr>
        <w:t>he HFA Advocacy Compact</w:t>
      </w:r>
      <w:r w:rsidR="0042067C" w:rsidRPr="009022FA">
        <w:rPr>
          <w:rFonts w:ascii="Palatino Linotype" w:hAnsi="Palatino Linotype" w:cs="Tahoma"/>
          <w:b w:val="0"/>
          <w:spacing w:val="-10"/>
          <w:sz w:val="22"/>
          <w:szCs w:val="22"/>
        </w:rPr>
        <w:t>.</w:t>
      </w:r>
      <w:r w:rsidR="0006649B">
        <w:rPr>
          <w:rFonts w:ascii="Palatino Linotype" w:hAnsi="Palatino Linotype"/>
          <w:b w:val="0"/>
          <w:spacing w:val="-10"/>
          <w:sz w:val="22"/>
          <w:szCs w:val="22"/>
        </w:rPr>
        <w:t xml:space="preserve"> </w:t>
      </w:r>
    </w:p>
    <w:p w:rsidR="0042067C" w:rsidRPr="004D2DF0" w:rsidRDefault="0042067C" w:rsidP="0042067C">
      <w:pPr>
        <w:pStyle w:val="BodyText2"/>
        <w:rPr>
          <w:rFonts w:ascii="Palatino Linotype" w:hAnsi="Palatino Linotype"/>
          <w:b w:val="0"/>
          <w:bCs w:val="0"/>
          <w:spacing w:val="-10"/>
          <w:sz w:val="22"/>
          <w:szCs w:val="22"/>
        </w:rPr>
      </w:pPr>
    </w:p>
    <w:p w:rsidR="004D2DF0" w:rsidRPr="004D2DF0" w:rsidRDefault="00BA2C1A" w:rsidP="001358AB">
      <w:pPr>
        <w:pStyle w:val="BodyText2"/>
        <w:ind w:firstLine="720"/>
        <w:rPr>
          <w:rFonts w:ascii="Palatino Linotype" w:hAnsi="Palatino Linotype"/>
          <w:b w:val="0"/>
          <w:spacing w:val="-10"/>
          <w:sz w:val="22"/>
          <w:szCs w:val="22"/>
        </w:rPr>
      </w:pPr>
      <w:r>
        <w:rPr>
          <w:rFonts w:ascii="Palatino Linotype" w:hAnsi="Palatino Linotype"/>
          <w:b w:val="0"/>
          <w:bCs w:val="0"/>
          <w:spacing w:val="-10"/>
          <w:sz w:val="22"/>
          <w:szCs w:val="22"/>
        </w:rPr>
        <w:t xml:space="preserve">In addition to the </w:t>
      </w:r>
      <w:r w:rsidR="007935D8">
        <w:rPr>
          <w:rFonts w:ascii="Palatino Linotype" w:hAnsi="Palatino Linotype"/>
          <w:b w:val="0"/>
          <w:bCs w:val="0"/>
          <w:spacing w:val="-10"/>
          <w:sz w:val="22"/>
          <w:szCs w:val="22"/>
        </w:rPr>
        <w:t xml:space="preserve">specific </w:t>
      </w:r>
      <w:r>
        <w:rPr>
          <w:rFonts w:ascii="Palatino Linotype" w:hAnsi="Palatino Linotype"/>
          <w:b w:val="0"/>
          <w:bCs w:val="0"/>
          <w:spacing w:val="-10"/>
          <w:sz w:val="22"/>
          <w:szCs w:val="22"/>
        </w:rPr>
        <w:t xml:space="preserve">priorities </w:t>
      </w:r>
      <w:r w:rsidR="007935D8">
        <w:rPr>
          <w:rFonts w:ascii="Palatino Linotype" w:hAnsi="Palatino Linotype"/>
          <w:b w:val="0"/>
          <w:bCs w:val="0"/>
          <w:spacing w:val="-10"/>
          <w:sz w:val="22"/>
          <w:szCs w:val="22"/>
        </w:rPr>
        <w:t xml:space="preserve">articulated </w:t>
      </w:r>
      <w:r>
        <w:rPr>
          <w:rFonts w:ascii="Palatino Linotype" w:hAnsi="Palatino Linotype"/>
          <w:b w:val="0"/>
          <w:bCs w:val="0"/>
          <w:spacing w:val="-10"/>
          <w:sz w:val="22"/>
          <w:szCs w:val="22"/>
        </w:rPr>
        <w:t xml:space="preserve">below, </w:t>
      </w:r>
      <w:r w:rsidR="004D2DF0" w:rsidRPr="004D2DF0">
        <w:rPr>
          <w:rFonts w:ascii="Palatino Linotype" w:hAnsi="Palatino Linotype"/>
          <w:b w:val="0"/>
          <w:bCs w:val="0"/>
          <w:spacing w:val="-10"/>
          <w:sz w:val="22"/>
          <w:szCs w:val="22"/>
        </w:rPr>
        <w:t xml:space="preserve">NCSHA also recognizes the importance of </w:t>
      </w:r>
      <w:r w:rsidR="007935D8">
        <w:rPr>
          <w:rFonts w:ascii="Palatino Linotype" w:hAnsi="Palatino Linotype"/>
          <w:b w:val="0"/>
          <w:bCs w:val="0"/>
          <w:spacing w:val="-10"/>
          <w:sz w:val="22"/>
          <w:szCs w:val="22"/>
        </w:rPr>
        <w:t xml:space="preserve">a strong Federal Housing Administration and secondary mortgage market that engage HFAs as preferred </w:t>
      </w:r>
      <w:r w:rsidR="007935D8">
        <w:rPr>
          <w:rFonts w:ascii="Palatino Linotype" w:hAnsi="Palatino Linotype"/>
          <w:b w:val="0"/>
          <w:bCs w:val="0"/>
          <w:spacing w:val="-10"/>
          <w:sz w:val="22"/>
          <w:szCs w:val="22"/>
        </w:rPr>
        <w:lastRenderedPageBreak/>
        <w:t xml:space="preserve">affordable lending partners and respond to their capital and liquidity needs.  NCSHA also supports </w:t>
      </w:r>
      <w:r w:rsidR="004D2DF0" w:rsidRPr="004D2DF0">
        <w:rPr>
          <w:rFonts w:ascii="Palatino Linotype" w:hAnsi="Palatino Linotype"/>
          <w:b w:val="0"/>
          <w:bCs w:val="0"/>
          <w:spacing w:val="-10"/>
          <w:sz w:val="22"/>
          <w:szCs w:val="22"/>
        </w:rPr>
        <w:t>affordable housing preservation</w:t>
      </w:r>
      <w:r w:rsidR="007935D8">
        <w:rPr>
          <w:rFonts w:ascii="Palatino Linotype" w:hAnsi="Palatino Linotype"/>
          <w:b w:val="0"/>
          <w:bCs w:val="0"/>
          <w:spacing w:val="-10"/>
          <w:sz w:val="22"/>
          <w:szCs w:val="22"/>
        </w:rPr>
        <w:t xml:space="preserve"> and </w:t>
      </w:r>
      <w:r w:rsidR="004D2DF0" w:rsidRPr="004D2DF0">
        <w:rPr>
          <w:rFonts w:ascii="Palatino Linotype" w:hAnsi="Palatino Linotype"/>
          <w:b w:val="0"/>
          <w:bCs w:val="0"/>
          <w:spacing w:val="-10"/>
          <w:sz w:val="22"/>
          <w:szCs w:val="22"/>
        </w:rPr>
        <w:t>programs that help HFAs improve affordable housing energy-efficiency and facilitate sustainable development</w:t>
      </w:r>
      <w:r w:rsidR="001656DA">
        <w:rPr>
          <w:rFonts w:ascii="Palatino Linotype" w:hAnsi="Palatino Linotype"/>
          <w:b w:val="0"/>
          <w:bCs w:val="0"/>
          <w:spacing w:val="-10"/>
          <w:sz w:val="22"/>
          <w:szCs w:val="22"/>
        </w:rPr>
        <w:t xml:space="preserve">.  In addition, </w:t>
      </w:r>
      <w:r w:rsidR="004D2DF0" w:rsidRPr="004D2DF0">
        <w:rPr>
          <w:rFonts w:ascii="Palatino Linotype" w:hAnsi="Palatino Linotype"/>
          <w:b w:val="0"/>
          <w:bCs w:val="0"/>
          <w:spacing w:val="-10"/>
          <w:sz w:val="22"/>
          <w:szCs w:val="22"/>
        </w:rPr>
        <w:t xml:space="preserve">NCSHA </w:t>
      </w:r>
      <w:r w:rsidR="001656DA">
        <w:rPr>
          <w:rFonts w:ascii="Palatino Linotype" w:hAnsi="Palatino Linotype"/>
          <w:b w:val="0"/>
          <w:bCs w:val="0"/>
          <w:spacing w:val="-10"/>
          <w:sz w:val="22"/>
          <w:szCs w:val="22"/>
        </w:rPr>
        <w:t xml:space="preserve">is committed to </w:t>
      </w:r>
      <w:r w:rsidR="004D2DF0" w:rsidRPr="004D2DF0">
        <w:rPr>
          <w:rFonts w:ascii="Palatino Linotype" w:hAnsi="Palatino Linotype"/>
          <w:b w:val="0"/>
          <w:bCs w:val="0"/>
          <w:spacing w:val="-10"/>
          <w:sz w:val="22"/>
          <w:szCs w:val="22"/>
        </w:rPr>
        <w:t xml:space="preserve">Community Reinvestment Act (CRA) </w:t>
      </w:r>
      <w:r w:rsidR="004D2DF0" w:rsidRPr="004D2DF0">
        <w:rPr>
          <w:rFonts w:ascii="Palatino Linotype" w:hAnsi="Palatino Linotype"/>
          <w:b w:val="0"/>
          <w:spacing w:val="-10"/>
          <w:sz w:val="22"/>
          <w:szCs w:val="22"/>
        </w:rPr>
        <w:t xml:space="preserve">reform that increases investor interest in purchasing Housing Bonds and </w:t>
      </w:r>
      <w:r w:rsidR="001656DA">
        <w:rPr>
          <w:rFonts w:ascii="Palatino Linotype" w:hAnsi="Palatino Linotype"/>
          <w:b w:val="0"/>
          <w:spacing w:val="-10"/>
          <w:sz w:val="22"/>
          <w:szCs w:val="22"/>
        </w:rPr>
        <w:t xml:space="preserve">Low Income Housing Tax </w:t>
      </w:r>
      <w:r w:rsidR="004D2DF0" w:rsidRPr="004D2DF0">
        <w:rPr>
          <w:rFonts w:ascii="Palatino Linotype" w:hAnsi="Palatino Linotype"/>
          <w:b w:val="0"/>
          <w:spacing w:val="-10"/>
          <w:sz w:val="22"/>
          <w:szCs w:val="22"/>
        </w:rPr>
        <w:t xml:space="preserve">Credits and enhances rural and smaller market access to CRA-motivated investment while not negatively impacting investment in other such areas.  </w:t>
      </w:r>
      <w:r w:rsidR="001656DA">
        <w:rPr>
          <w:rFonts w:ascii="Palatino Linotype" w:hAnsi="Palatino Linotype"/>
          <w:b w:val="0"/>
          <w:spacing w:val="-10"/>
          <w:sz w:val="22"/>
          <w:szCs w:val="22"/>
        </w:rPr>
        <w:t xml:space="preserve">Finally, </w:t>
      </w:r>
      <w:r w:rsidR="004D2DF0" w:rsidRPr="004D2DF0">
        <w:rPr>
          <w:rFonts w:ascii="Palatino Linotype" w:hAnsi="Palatino Linotype"/>
          <w:b w:val="0"/>
          <w:spacing w:val="-10"/>
          <w:sz w:val="22"/>
          <w:szCs w:val="22"/>
        </w:rPr>
        <w:t xml:space="preserve">NCSHA recognizes </w:t>
      </w:r>
      <w:r w:rsidR="001656DA">
        <w:rPr>
          <w:rFonts w:ascii="Palatino Linotype" w:hAnsi="Palatino Linotype"/>
          <w:b w:val="0"/>
          <w:spacing w:val="-10"/>
          <w:sz w:val="22"/>
          <w:szCs w:val="22"/>
        </w:rPr>
        <w:t xml:space="preserve">the need for affordable flood insurance and </w:t>
      </w:r>
      <w:r w:rsidR="004D2DF0" w:rsidRPr="004D2DF0">
        <w:rPr>
          <w:rFonts w:ascii="Palatino Linotype" w:hAnsi="Palatino Linotype"/>
          <w:b w:val="0"/>
          <w:spacing w:val="-10"/>
          <w:sz w:val="22"/>
          <w:szCs w:val="22"/>
        </w:rPr>
        <w:t xml:space="preserve">additional resources and program flexibility </w:t>
      </w:r>
      <w:r w:rsidR="001656DA">
        <w:rPr>
          <w:rFonts w:ascii="Palatino Linotype" w:hAnsi="Palatino Linotype"/>
          <w:b w:val="0"/>
          <w:spacing w:val="-10"/>
          <w:sz w:val="22"/>
          <w:szCs w:val="22"/>
        </w:rPr>
        <w:t xml:space="preserve">for states </w:t>
      </w:r>
      <w:r w:rsidR="004D2DF0" w:rsidRPr="004D2DF0">
        <w:rPr>
          <w:rFonts w:ascii="Palatino Linotype" w:hAnsi="Palatino Linotype"/>
          <w:b w:val="0"/>
          <w:spacing w:val="-10"/>
          <w:sz w:val="22"/>
          <w:szCs w:val="22"/>
        </w:rPr>
        <w:t>to address their disaster-related housing needs.</w:t>
      </w:r>
      <w:r w:rsidR="00F836D6">
        <w:rPr>
          <w:rFonts w:ascii="Palatino Linotype" w:hAnsi="Palatino Linotype"/>
          <w:b w:val="0"/>
          <w:spacing w:val="-10"/>
          <w:sz w:val="22"/>
          <w:szCs w:val="22"/>
        </w:rPr>
        <w:t xml:space="preserve"> </w:t>
      </w:r>
    </w:p>
    <w:p w:rsidR="001514D9" w:rsidRDefault="001514D9" w:rsidP="005F6B4E">
      <w:pPr>
        <w:tabs>
          <w:tab w:val="left" w:pos="3600"/>
        </w:tabs>
        <w:outlineLvl w:val="0"/>
        <w:rPr>
          <w:rFonts w:ascii="Palatino Linotype" w:hAnsi="Palatino Linotype"/>
          <w:b/>
          <w:bCs/>
          <w:spacing w:val="-10"/>
          <w:sz w:val="22"/>
          <w:szCs w:val="22"/>
        </w:rPr>
      </w:pPr>
    </w:p>
    <w:p w:rsidR="001514D9" w:rsidRPr="004D2DF0" w:rsidRDefault="001514D9" w:rsidP="005F6B4E">
      <w:pPr>
        <w:tabs>
          <w:tab w:val="left" w:pos="3600"/>
        </w:tabs>
        <w:outlineLvl w:val="0"/>
        <w:rPr>
          <w:rFonts w:ascii="Palatino Linotype" w:hAnsi="Palatino Linotype"/>
          <w:b/>
          <w:bCs/>
          <w:spacing w:val="-10"/>
          <w:sz w:val="22"/>
          <w:szCs w:val="22"/>
        </w:rPr>
      </w:pPr>
    </w:p>
    <w:p w:rsidR="004D2DF0" w:rsidRPr="004D2DF0" w:rsidRDefault="004D2DF0" w:rsidP="001514D9">
      <w:pPr>
        <w:jc w:val="center"/>
        <w:rPr>
          <w:rFonts w:ascii="Palatino Linotype" w:hAnsi="Palatino Linotype" w:cs="Calibri"/>
          <w:i/>
          <w:iCs/>
          <w:color w:val="000000"/>
          <w:spacing w:val="-10"/>
          <w:sz w:val="22"/>
          <w:szCs w:val="22"/>
        </w:rPr>
      </w:pPr>
      <w:r w:rsidRPr="004D2DF0">
        <w:rPr>
          <w:rFonts w:ascii="Palatino Linotype" w:hAnsi="Palatino Linotype" w:cs="Calibri"/>
          <w:b/>
          <w:bCs/>
          <w:color w:val="000000"/>
          <w:spacing w:val="-10"/>
          <w:sz w:val="22"/>
          <w:szCs w:val="22"/>
        </w:rPr>
        <w:t>Business Priorities</w:t>
      </w:r>
    </w:p>
    <w:p w:rsidR="004D2DF0" w:rsidRPr="004D2DF0" w:rsidRDefault="004D2DF0" w:rsidP="004D2DF0">
      <w:pPr>
        <w:rPr>
          <w:rFonts w:ascii="Palatino Linotype" w:hAnsi="Palatino Linotype" w:cs="Calibri"/>
          <w:color w:val="000000"/>
          <w:spacing w:val="-10"/>
          <w:sz w:val="22"/>
          <w:szCs w:val="22"/>
        </w:rPr>
      </w:pPr>
    </w:p>
    <w:p w:rsidR="004D2DF0" w:rsidRPr="001358AB" w:rsidRDefault="004D2DF0" w:rsidP="00747260">
      <w:pPr>
        <w:ind w:firstLine="720"/>
        <w:jc w:val="both"/>
        <w:rPr>
          <w:rFonts w:ascii="Palatino Linotype" w:hAnsi="Palatino Linotype" w:cs="Calibri"/>
          <w:spacing w:val="-10"/>
          <w:sz w:val="22"/>
          <w:szCs w:val="22"/>
        </w:rPr>
      </w:pPr>
      <w:r w:rsidRPr="001358AB">
        <w:rPr>
          <w:rFonts w:ascii="Palatino Linotype" w:hAnsi="Palatino Linotype" w:cs="Calibri"/>
          <w:spacing w:val="-10"/>
          <w:sz w:val="22"/>
          <w:szCs w:val="22"/>
        </w:rPr>
        <w:t>In 201</w:t>
      </w:r>
      <w:r w:rsidR="00523808">
        <w:rPr>
          <w:rFonts w:ascii="Palatino Linotype" w:hAnsi="Palatino Linotype" w:cs="Calibri"/>
          <w:spacing w:val="-10"/>
          <w:sz w:val="22"/>
          <w:szCs w:val="22"/>
        </w:rPr>
        <w:t>6</w:t>
      </w:r>
      <w:r w:rsidRPr="001358AB">
        <w:rPr>
          <w:rFonts w:ascii="Palatino Linotype" w:hAnsi="Palatino Linotype" w:cs="Calibri"/>
          <w:spacing w:val="-10"/>
          <w:sz w:val="22"/>
          <w:szCs w:val="22"/>
        </w:rPr>
        <w:t xml:space="preserve">, to </w:t>
      </w:r>
      <w:r w:rsidR="00F21DBD" w:rsidRPr="001358AB">
        <w:rPr>
          <w:rFonts w:ascii="Palatino Linotype" w:hAnsi="Palatino Linotype" w:cs="Calibri"/>
          <w:spacing w:val="-10"/>
          <w:sz w:val="22"/>
          <w:szCs w:val="22"/>
        </w:rPr>
        <w:t xml:space="preserve">help HFAs maintain </w:t>
      </w:r>
      <w:r w:rsidR="00CB6BFF" w:rsidRPr="001358AB">
        <w:rPr>
          <w:rFonts w:ascii="Palatino Linotype" w:hAnsi="Palatino Linotype"/>
          <w:spacing w:val="-10"/>
          <w:sz w:val="22"/>
          <w:szCs w:val="22"/>
        </w:rPr>
        <w:t>their market impact, enhance their programs’ effectiveness</w:t>
      </w:r>
      <w:r w:rsidR="00F21DBD" w:rsidRPr="001358AB">
        <w:rPr>
          <w:rFonts w:ascii="Palatino Linotype" w:hAnsi="Palatino Linotype" w:cs="Calibri"/>
          <w:spacing w:val="-10"/>
          <w:sz w:val="22"/>
          <w:szCs w:val="22"/>
        </w:rPr>
        <w:t xml:space="preserve">, </w:t>
      </w:r>
      <w:r w:rsidR="00BA2C1A" w:rsidRPr="001358AB">
        <w:rPr>
          <w:rFonts w:ascii="Palatino Linotype" w:hAnsi="Palatino Linotype" w:cs="Calibri"/>
          <w:spacing w:val="-10"/>
          <w:sz w:val="22"/>
          <w:szCs w:val="22"/>
        </w:rPr>
        <w:t xml:space="preserve">improve the </w:t>
      </w:r>
      <w:r w:rsidRPr="001358AB">
        <w:rPr>
          <w:rFonts w:ascii="Palatino Linotype" w:hAnsi="Palatino Linotype" w:cs="Calibri"/>
          <w:spacing w:val="-10"/>
          <w:sz w:val="22"/>
          <w:szCs w:val="22"/>
        </w:rPr>
        <w:t xml:space="preserve">execution of their business activities, </w:t>
      </w:r>
      <w:r w:rsidR="00BA2C1A" w:rsidRPr="001358AB">
        <w:rPr>
          <w:rFonts w:ascii="Palatino Linotype" w:hAnsi="Palatino Linotype" w:cs="Calibri"/>
          <w:spacing w:val="-10"/>
          <w:sz w:val="22"/>
          <w:szCs w:val="22"/>
        </w:rPr>
        <w:t xml:space="preserve">and promote business-oriented innovation, </w:t>
      </w:r>
      <w:r w:rsidRPr="001358AB">
        <w:rPr>
          <w:rFonts w:ascii="Palatino Linotype" w:hAnsi="Palatino Linotype" w:cs="Calibri"/>
          <w:spacing w:val="-10"/>
          <w:sz w:val="22"/>
          <w:szCs w:val="22"/>
        </w:rPr>
        <w:t>NCSHA will:</w:t>
      </w:r>
    </w:p>
    <w:p w:rsidR="004D2DF0" w:rsidRPr="004D2DF0" w:rsidRDefault="004D2DF0" w:rsidP="00747260">
      <w:pPr>
        <w:jc w:val="both"/>
        <w:rPr>
          <w:rFonts w:ascii="Palatino Linotype" w:hAnsi="Palatino Linotype" w:cs="Calibri"/>
          <w:color w:val="000000"/>
          <w:spacing w:val="-10"/>
          <w:sz w:val="22"/>
          <w:szCs w:val="22"/>
        </w:rPr>
      </w:pPr>
    </w:p>
    <w:p w:rsidR="004D2DF0" w:rsidRPr="004D2DF0" w:rsidRDefault="004D2DF0" w:rsidP="00747260">
      <w:pPr>
        <w:pStyle w:val="ListParagraph"/>
        <w:numPr>
          <w:ilvl w:val="0"/>
          <w:numId w:val="9"/>
        </w:numPr>
        <w:jc w:val="both"/>
        <w:rPr>
          <w:rFonts w:ascii="Palatino Linotype" w:hAnsi="Palatino Linotype" w:cs="Calibri"/>
          <w:color w:val="000000"/>
          <w:spacing w:val="-10"/>
          <w:sz w:val="22"/>
          <w:szCs w:val="22"/>
        </w:rPr>
      </w:pPr>
      <w:r w:rsidRPr="004D2DF0">
        <w:rPr>
          <w:rFonts w:ascii="Palatino Linotype" w:hAnsi="Palatino Linotype" w:cs="Calibri"/>
          <w:color w:val="000000"/>
          <w:spacing w:val="-10"/>
          <w:sz w:val="22"/>
          <w:szCs w:val="22"/>
        </w:rPr>
        <w:t xml:space="preserve">Help HFAs develop potential new lending executions </w:t>
      </w:r>
      <w:r w:rsidR="002D503B">
        <w:rPr>
          <w:rFonts w:ascii="Palatino Linotype" w:hAnsi="Palatino Linotype" w:cs="Calibri"/>
          <w:color w:val="000000"/>
          <w:spacing w:val="-10"/>
          <w:sz w:val="22"/>
          <w:szCs w:val="22"/>
        </w:rPr>
        <w:t xml:space="preserve">and </w:t>
      </w:r>
      <w:r w:rsidRPr="004D2DF0">
        <w:rPr>
          <w:rFonts w:ascii="Palatino Linotype" w:hAnsi="Palatino Linotype" w:cs="Calibri"/>
          <w:color w:val="000000"/>
          <w:spacing w:val="-10"/>
          <w:sz w:val="22"/>
          <w:szCs w:val="22"/>
        </w:rPr>
        <w:t>capital access options</w:t>
      </w:r>
      <w:r w:rsidR="002F5F66">
        <w:rPr>
          <w:rFonts w:ascii="Palatino Linotype" w:hAnsi="Palatino Linotype" w:cs="Calibri"/>
          <w:color w:val="000000"/>
          <w:spacing w:val="-10"/>
          <w:sz w:val="22"/>
          <w:szCs w:val="22"/>
        </w:rPr>
        <w:t xml:space="preserve"> that help them better serve their targeted customers and meet their mission-related objectives</w:t>
      </w:r>
      <w:r w:rsidRPr="004D2DF0">
        <w:rPr>
          <w:rFonts w:ascii="Palatino Linotype" w:hAnsi="Palatino Linotype" w:cs="Calibri"/>
          <w:color w:val="000000"/>
          <w:spacing w:val="-10"/>
          <w:sz w:val="22"/>
          <w:szCs w:val="22"/>
        </w:rPr>
        <w:t>.</w:t>
      </w:r>
      <w:r w:rsidR="003C08A8">
        <w:rPr>
          <w:rFonts w:ascii="Palatino Linotype" w:hAnsi="Palatino Linotype" w:cs="Calibri"/>
          <w:color w:val="000000"/>
          <w:spacing w:val="-10"/>
          <w:sz w:val="22"/>
          <w:szCs w:val="22"/>
        </w:rPr>
        <w:t xml:space="preserve"> </w:t>
      </w:r>
    </w:p>
    <w:p w:rsidR="004D2DF0" w:rsidRPr="004D2DF0" w:rsidRDefault="004D2DF0" w:rsidP="00747260">
      <w:pPr>
        <w:jc w:val="both"/>
        <w:rPr>
          <w:rFonts w:ascii="Palatino Linotype" w:hAnsi="Palatino Linotype" w:cs="Calibri"/>
          <w:color w:val="000000"/>
          <w:spacing w:val="-10"/>
          <w:sz w:val="22"/>
          <w:szCs w:val="22"/>
        </w:rPr>
      </w:pPr>
    </w:p>
    <w:p w:rsidR="004D2DF0" w:rsidRPr="004D2DF0" w:rsidRDefault="004D2DF0" w:rsidP="00747260">
      <w:pPr>
        <w:pStyle w:val="ListParagraph"/>
        <w:numPr>
          <w:ilvl w:val="0"/>
          <w:numId w:val="10"/>
        </w:numPr>
        <w:jc w:val="both"/>
        <w:rPr>
          <w:rFonts w:ascii="Palatino Linotype" w:hAnsi="Palatino Linotype" w:cs="Calibri"/>
          <w:color w:val="000000"/>
          <w:spacing w:val="-10"/>
          <w:sz w:val="22"/>
          <w:szCs w:val="22"/>
        </w:rPr>
      </w:pPr>
      <w:r w:rsidRPr="004D2DF0">
        <w:rPr>
          <w:rFonts w:ascii="Palatino Linotype" w:hAnsi="Palatino Linotype" w:cs="Calibri"/>
          <w:color w:val="000000"/>
          <w:spacing w:val="-10"/>
          <w:sz w:val="22"/>
          <w:szCs w:val="22"/>
        </w:rPr>
        <w:t xml:space="preserve">Investigate the possibility of HFA cooperative arrangements </w:t>
      </w:r>
      <w:r w:rsidR="001656DA">
        <w:rPr>
          <w:rFonts w:ascii="Palatino Linotype" w:hAnsi="Palatino Linotype" w:cs="Calibri"/>
          <w:color w:val="000000"/>
          <w:spacing w:val="-10"/>
          <w:sz w:val="22"/>
          <w:szCs w:val="22"/>
        </w:rPr>
        <w:t xml:space="preserve">that </w:t>
      </w:r>
      <w:r w:rsidRPr="004D2DF0">
        <w:rPr>
          <w:rFonts w:ascii="Palatino Linotype" w:hAnsi="Palatino Linotype" w:cs="Calibri"/>
          <w:color w:val="000000"/>
          <w:spacing w:val="-10"/>
          <w:sz w:val="22"/>
          <w:szCs w:val="22"/>
        </w:rPr>
        <w:t xml:space="preserve">leverage </w:t>
      </w:r>
      <w:r w:rsidR="001656DA">
        <w:rPr>
          <w:rFonts w:ascii="Palatino Linotype" w:hAnsi="Palatino Linotype" w:cs="Calibri"/>
          <w:color w:val="000000"/>
          <w:spacing w:val="-10"/>
          <w:sz w:val="22"/>
          <w:szCs w:val="22"/>
        </w:rPr>
        <w:t xml:space="preserve">HFAs’ </w:t>
      </w:r>
      <w:r w:rsidRPr="004D2DF0">
        <w:rPr>
          <w:rFonts w:ascii="Palatino Linotype" w:hAnsi="Palatino Linotype" w:cs="Calibri"/>
          <w:color w:val="000000"/>
          <w:spacing w:val="-10"/>
          <w:sz w:val="22"/>
          <w:szCs w:val="22"/>
        </w:rPr>
        <w:t>collective strength and capacity.</w:t>
      </w:r>
    </w:p>
    <w:p w:rsidR="004D2DF0" w:rsidRPr="004D2DF0" w:rsidRDefault="004D2DF0" w:rsidP="00747260">
      <w:pPr>
        <w:pStyle w:val="ListParagraph"/>
        <w:jc w:val="both"/>
        <w:rPr>
          <w:rFonts w:ascii="Palatino Linotype" w:hAnsi="Palatino Linotype" w:cs="Calibri"/>
          <w:color w:val="000000"/>
          <w:spacing w:val="-10"/>
          <w:sz w:val="22"/>
          <w:szCs w:val="22"/>
        </w:rPr>
      </w:pPr>
    </w:p>
    <w:p w:rsidR="004D2DF0" w:rsidRPr="004D2DF0" w:rsidRDefault="001656DA" w:rsidP="00747260">
      <w:pPr>
        <w:pStyle w:val="ListParagraph"/>
        <w:numPr>
          <w:ilvl w:val="0"/>
          <w:numId w:val="10"/>
        </w:numPr>
        <w:jc w:val="both"/>
        <w:rPr>
          <w:rFonts w:ascii="Palatino Linotype" w:hAnsi="Palatino Linotype" w:cs="Calibri"/>
          <w:color w:val="000000"/>
          <w:spacing w:val="-10"/>
          <w:sz w:val="22"/>
          <w:szCs w:val="22"/>
        </w:rPr>
      </w:pPr>
      <w:r>
        <w:rPr>
          <w:rFonts w:ascii="Palatino Linotype" w:hAnsi="Palatino Linotype" w:cs="Calibri"/>
          <w:color w:val="000000"/>
          <w:spacing w:val="-10"/>
          <w:sz w:val="22"/>
          <w:szCs w:val="22"/>
        </w:rPr>
        <w:t xml:space="preserve">Collect and interpret </w:t>
      </w:r>
      <w:r w:rsidR="004D2DF0" w:rsidRPr="004D2DF0">
        <w:rPr>
          <w:rFonts w:ascii="Palatino Linotype" w:hAnsi="Palatino Linotype" w:cs="Calibri"/>
          <w:color w:val="000000"/>
          <w:spacing w:val="-10"/>
          <w:sz w:val="22"/>
          <w:szCs w:val="22"/>
        </w:rPr>
        <w:t xml:space="preserve">HFA </w:t>
      </w:r>
      <w:r>
        <w:rPr>
          <w:rFonts w:ascii="Palatino Linotype" w:hAnsi="Palatino Linotype" w:cs="Calibri"/>
          <w:color w:val="000000"/>
          <w:spacing w:val="-10"/>
          <w:sz w:val="22"/>
          <w:szCs w:val="22"/>
        </w:rPr>
        <w:t xml:space="preserve">single-family loan </w:t>
      </w:r>
      <w:r w:rsidR="004D2DF0" w:rsidRPr="004D2DF0">
        <w:rPr>
          <w:rFonts w:ascii="Palatino Linotype" w:hAnsi="Palatino Linotype" w:cs="Calibri"/>
          <w:color w:val="000000"/>
          <w:spacing w:val="-10"/>
          <w:sz w:val="22"/>
          <w:szCs w:val="22"/>
        </w:rPr>
        <w:t xml:space="preserve">performance data to </w:t>
      </w:r>
      <w:r>
        <w:rPr>
          <w:rFonts w:ascii="Palatino Linotype" w:hAnsi="Palatino Linotype" w:cs="Calibri"/>
          <w:color w:val="000000"/>
          <w:spacing w:val="-10"/>
          <w:sz w:val="22"/>
          <w:szCs w:val="22"/>
        </w:rPr>
        <w:t>support NCSHA’s and HFAs’ advocacy, communications, and business development efforts</w:t>
      </w:r>
      <w:r w:rsidR="004D2DF0" w:rsidRPr="004D2DF0">
        <w:rPr>
          <w:rFonts w:ascii="Palatino Linotype" w:hAnsi="Palatino Linotype" w:cs="Calibri"/>
          <w:color w:val="000000"/>
          <w:spacing w:val="-10"/>
          <w:sz w:val="22"/>
          <w:szCs w:val="22"/>
        </w:rPr>
        <w:t>.</w:t>
      </w:r>
    </w:p>
    <w:p w:rsidR="004D2DF0" w:rsidRPr="004D2DF0" w:rsidRDefault="004D2DF0" w:rsidP="00747260">
      <w:pPr>
        <w:pStyle w:val="ListParagraph"/>
        <w:jc w:val="both"/>
        <w:rPr>
          <w:rFonts w:ascii="Palatino Linotype" w:hAnsi="Palatino Linotype" w:cs="Calibri"/>
          <w:color w:val="000000"/>
          <w:spacing w:val="-10"/>
          <w:sz w:val="22"/>
          <w:szCs w:val="22"/>
        </w:rPr>
      </w:pPr>
    </w:p>
    <w:p w:rsidR="004D2DF0" w:rsidRDefault="00CA3AD8" w:rsidP="00747260">
      <w:pPr>
        <w:pStyle w:val="ListParagraph"/>
        <w:numPr>
          <w:ilvl w:val="0"/>
          <w:numId w:val="11"/>
        </w:numPr>
        <w:jc w:val="both"/>
        <w:rPr>
          <w:rFonts w:ascii="Palatino Linotype" w:hAnsi="Palatino Linotype" w:cs="Calibri"/>
          <w:color w:val="000000"/>
          <w:spacing w:val="-10"/>
          <w:sz w:val="22"/>
          <w:szCs w:val="22"/>
        </w:rPr>
      </w:pPr>
      <w:r>
        <w:rPr>
          <w:rFonts w:ascii="Palatino Linotype" w:hAnsi="Palatino Linotype" w:cs="Calibri"/>
          <w:color w:val="000000"/>
          <w:spacing w:val="-10"/>
          <w:sz w:val="22"/>
          <w:szCs w:val="22"/>
        </w:rPr>
        <w:t xml:space="preserve">Retain </w:t>
      </w:r>
      <w:r w:rsidR="00BB3533">
        <w:rPr>
          <w:rFonts w:ascii="Palatino Linotype" w:hAnsi="Palatino Linotype" w:cs="Calibri"/>
          <w:color w:val="000000"/>
          <w:spacing w:val="-10"/>
          <w:sz w:val="22"/>
          <w:szCs w:val="22"/>
        </w:rPr>
        <w:t xml:space="preserve">and expand </w:t>
      </w:r>
      <w:r>
        <w:rPr>
          <w:rFonts w:ascii="Palatino Linotype" w:hAnsi="Palatino Linotype" w:cs="Calibri"/>
          <w:color w:val="000000"/>
          <w:spacing w:val="-10"/>
          <w:sz w:val="22"/>
          <w:szCs w:val="22"/>
        </w:rPr>
        <w:t>existing and p</w:t>
      </w:r>
      <w:r w:rsidR="004D2DF0" w:rsidRPr="004D2DF0">
        <w:rPr>
          <w:rFonts w:ascii="Palatino Linotype" w:hAnsi="Palatino Linotype" w:cs="Calibri"/>
          <w:color w:val="000000"/>
          <w:spacing w:val="-10"/>
          <w:sz w:val="22"/>
          <w:szCs w:val="22"/>
        </w:rPr>
        <w:t xml:space="preserve">ursue </w:t>
      </w:r>
      <w:r>
        <w:rPr>
          <w:rFonts w:ascii="Palatino Linotype" w:hAnsi="Palatino Linotype" w:cs="Calibri"/>
          <w:color w:val="000000"/>
          <w:spacing w:val="-10"/>
          <w:sz w:val="22"/>
          <w:szCs w:val="22"/>
        </w:rPr>
        <w:t xml:space="preserve">new </w:t>
      </w:r>
      <w:r w:rsidR="004D2DF0" w:rsidRPr="004D2DF0">
        <w:rPr>
          <w:rFonts w:ascii="Palatino Linotype" w:hAnsi="Palatino Linotype" w:cs="Calibri"/>
          <w:color w:val="000000"/>
          <w:spacing w:val="-10"/>
          <w:sz w:val="22"/>
          <w:szCs w:val="22"/>
        </w:rPr>
        <w:t>preferred HFA lending relationships with HUD, Rural Development, Fannie Mae, Freddie Mac, the Federal Home Loan Banks</w:t>
      </w:r>
      <w:r w:rsidR="00F21DBD">
        <w:rPr>
          <w:rFonts w:ascii="Palatino Linotype" w:hAnsi="Palatino Linotype" w:cs="Calibri"/>
          <w:color w:val="000000"/>
          <w:spacing w:val="-10"/>
          <w:sz w:val="22"/>
          <w:szCs w:val="22"/>
        </w:rPr>
        <w:t xml:space="preserve"> (FHLBs)</w:t>
      </w:r>
      <w:r w:rsidR="004D2DF0" w:rsidRPr="004D2DF0">
        <w:rPr>
          <w:rFonts w:ascii="Palatino Linotype" w:hAnsi="Palatino Linotype" w:cs="Calibri"/>
          <w:color w:val="000000"/>
          <w:spacing w:val="-10"/>
          <w:sz w:val="22"/>
          <w:szCs w:val="22"/>
        </w:rPr>
        <w:t xml:space="preserve">, </w:t>
      </w:r>
      <w:r w:rsidR="00593F54">
        <w:rPr>
          <w:rFonts w:ascii="Palatino Linotype" w:hAnsi="Palatino Linotype" w:cs="Calibri"/>
          <w:color w:val="000000"/>
          <w:spacing w:val="-10"/>
          <w:sz w:val="22"/>
          <w:szCs w:val="22"/>
        </w:rPr>
        <w:t xml:space="preserve">Ginnie Mae, </w:t>
      </w:r>
      <w:r w:rsidR="0042067C">
        <w:rPr>
          <w:rFonts w:ascii="Palatino Linotype" w:hAnsi="Palatino Linotype" w:cs="Calibri"/>
          <w:color w:val="000000"/>
          <w:spacing w:val="-10"/>
          <w:sz w:val="22"/>
          <w:szCs w:val="22"/>
        </w:rPr>
        <w:t xml:space="preserve">the Federal Financing Bank, </w:t>
      </w:r>
      <w:r w:rsidR="004D2DF0" w:rsidRPr="004D2DF0">
        <w:rPr>
          <w:rFonts w:ascii="Palatino Linotype" w:hAnsi="Palatino Linotype" w:cs="Calibri"/>
          <w:color w:val="000000"/>
          <w:spacing w:val="-10"/>
          <w:sz w:val="22"/>
          <w:szCs w:val="22"/>
        </w:rPr>
        <w:t>and Private Mortgage Insurance (PMI) companies.</w:t>
      </w:r>
    </w:p>
    <w:p w:rsidR="00472D13" w:rsidRDefault="00472D13" w:rsidP="00472D13">
      <w:pPr>
        <w:pStyle w:val="ListParagraph"/>
        <w:jc w:val="both"/>
        <w:rPr>
          <w:rFonts w:ascii="Palatino Linotype" w:hAnsi="Palatino Linotype" w:cs="Calibri"/>
          <w:color w:val="000000"/>
          <w:spacing w:val="-10"/>
          <w:sz w:val="22"/>
          <w:szCs w:val="22"/>
        </w:rPr>
      </w:pPr>
    </w:p>
    <w:p w:rsidR="00472D13" w:rsidRDefault="00472D13" w:rsidP="00747260">
      <w:pPr>
        <w:pStyle w:val="ListParagraph"/>
        <w:numPr>
          <w:ilvl w:val="0"/>
          <w:numId w:val="11"/>
        </w:numPr>
        <w:jc w:val="both"/>
        <w:rPr>
          <w:rFonts w:ascii="Palatino Linotype" w:hAnsi="Palatino Linotype" w:cs="Calibri"/>
          <w:color w:val="000000"/>
          <w:spacing w:val="-10"/>
          <w:sz w:val="22"/>
          <w:szCs w:val="22"/>
        </w:rPr>
      </w:pPr>
      <w:r>
        <w:rPr>
          <w:rFonts w:ascii="Palatino Linotype" w:hAnsi="Palatino Linotype" w:cs="Calibri"/>
          <w:color w:val="000000"/>
          <w:spacing w:val="-10"/>
          <w:sz w:val="22"/>
          <w:szCs w:val="22"/>
        </w:rPr>
        <w:t xml:space="preserve">Continue to execute NCSHA’s </w:t>
      </w:r>
      <w:r w:rsidRPr="00472D13">
        <w:rPr>
          <w:rFonts w:ascii="Palatino Linotype" w:hAnsi="Palatino Linotype" w:cs="Calibri"/>
          <w:i/>
          <w:color w:val="000000"/>
          <w:spacing w:val="-10"/>
          <w:sz w:val="22"/>
          <w:szCs w:val="22"/>
        </w:rPr>
        <w:t>Power of Housing at Work</w:t>
      </w:r>
      <w:r>
        <w:rPr>
          <w:rFonts w:ascii="Palatino Linotype" w:hAnsi="Palatino Linotype" w:cs="Calibri"/>
          <w:color w:val="000000"/>
          <w:spacing w:val="-10"/>
          <w:sz w:val="22"/>
          <w:szCs w:val="22"/>
        </w:rPr>
        <w:t xml:space="preserve"> communications plan</w:t>
      </w:r>
      <w:r w:rsidR="00335874">
        <w:rPr>
          <w:rFonts w:ascii="Palatino Linotype" w:hAnsi="Palatino Linotype" w:cs="Calibri"/>
          <w:color w:val="000000"/>
          <w:spacing w:val="-10"/>
          <w:sz w:val="22"/>
          <w:szCs w:val="22"/>
        </w:rPr>
        <w:t xml:space="preserve">, </w:t>
      </w:r>
      <w:r w:rsidR="00335874" w:rsidRPr="004A6E05">
        <w:rPr>
          <w:rFonts w:ascii="Palatino Linotype" w:hAnsi="Palatino Linotype" w:cs="Calibri"/>
          <w:color w:val="000000"/>
          <w:spacing w:val="-10"/>
          <w:sz w:val="22"/>
          <w:szCs w:val="22"/>
        </w:rPr>
        <w:t xml:space="preserve">with priority </w:t>
      </w:r>
      <w:r w:rsidR="00335874" w:rsidRPr="004A6E05">
        <w:rPr>
          <w:rFonts w:ascii="Palatino Linotype" w:hAnsi="Palatino Linotype"/>
          <w:spacing w:val="-10"/>
          <w:sz w:val="22"/>
          <w:szCs w:val="22"/>
        </w:rPr>
        <w:t xml:space="preserve">focus </w:t>
      </w:r>
      <w:r w:rsidR="00335874" w:rsidRPr="008D164B">
        <w:rPr>
          <w:rFonts w:ascii="Palatino Linotype" w:hAnsi="Palatino Linotype"/>
          <w:spacing w:val="-10"/>
          <w:sz w:val="22"/>
          <w:szCs w:val="22"/>
        </w:rPr>
        <w:t xml:space="preserve">on more proactive outreach to the media, with the goal of </w:t>
      </w:r>
      <w:r w:rsidR="00C875E1" w:rsidRPr="008D164B">
        <w:rPr>
          <w:rFonts w:ascii="Palatino Linotype" w:hAnsi="Palatino Linotype"/>
          <w:spacing w:val="-10"/>
          <w:sz w:val="22"/>
          <w:szCs w:val="22"/>
        </w:rPr>
        <w:t>developing an HFA brand and ensuring</w:t>
      </w:r>
      <w:r w:rsidR="00C875E1">
        <w:rPr>
          <w:rFonts w:ascii="Palatino Linotype" w:hAnsi="Palatino Linotype"/>
          <w:spacing w:val="-10"/>
          <w:sz w:val="22"/>
          <w:szCs w:val="22"/>
        </w:rPr>
        <w:t xml:space="preserve"> that it is </w:t>
      </w:r>
      <w:r w:rsidR="00335874" w:rsidRPr="004A6E05">
        <w:rPr>
          <w:rFonts w:ascii="Palatino Linotype" w:hAnsi="Palatino Linotype"/>
          <w:spacing w:val="-10"/>
          <w:sz w:val="22"/>
          <w:szCs w:val="22"/>
        </w:rPr>
        <w:t xml:space="preserve">communicated more broadly; maximizing the impact of NCSHA’s </w:t>
      </w:r>
      <w:r w:rsidR="00335874" w:rsidRPr="004A6E05">
        <w:rPr>
          <w:rFonts w:ascii="Palatino Linotype" w:hAnsi="Palatino Linotype"/>
          <w:i/>
          <w:spacing w:val="-10"/>
          <w:sz w:val="22"/>
          <w:szCs w:val="22"/>
        </w:rPr>
        <w:t>Faces of Home</w:t>
      </w:r>
      <w:r w:rsidR="00335874" w:rsidRPr="004A6E05">
        <w:rPr>
          <w:rFonts w:ascii="Palatino Linotype" w:hAnsi="Palatino Linotype"/>
          <w:spacing w:val="-10"/>
          <w:sz w:val="22"/>
          <w:szCs w:val="22"/>
        </w:rPr>
        <w:t xml:space="preserve"> campaign; and refreshing NCSHA messaging with the latest affordable housing impact and needs analys</w:t>
      </w:r>
      <w:r w:rsidR="009C4680">
        <w:rPr>
          <w:rFonts w:ascii="Palatino Linotype" w:hAnsi="Palatino Linotype"/>
          <w:spacing w:val="-10"/>
          <w:sz w:val="22"/>
          <w:szCs w:val="22"/>
        </w:rPr>
        <w:t>e</w:t>
      </w:r>
      <w:r w:rsidR="00335874" w:rsidRPr="004A6E05">
        <w:rPr>
          <w:rFonts w:ascii="Palatino Linotype" w:hAnsi="Palatino Linotype"/>
          <w:spacing w:val="-10"/>
          <w:sz w:val="22"/>
          <w:szCs w:val="22"/>
        </w:rPr>
        <w:t>s and data, including economic impacts</w:t>
      </w:r>
      <w:r>
        <w:rPr>
          <w:rFonts w:ascii="Palatino Linotype" w:hAnsi="Palatino Linotype" w:cs="Calibri"/>
          <w:color w:val="000000"/>
          <w:spacing w:val="-10"/>
          <w:sz w:val="22"/>
          <w:szCs w:val="22"/>
        </w:rPr>
        <w:t>.</w:t>
      </w:r>
    </w:p>
    <w:p w:rsidR="00335874" w:rsidRPr="00335874" w:rsidRDefault="00335874" w:rsidP="00335874">
      <w:pPr>
        <w:pStyle w:val="ListParagraph"/>
        <w:rPr>
          <w:rFonts w:ascii="Palatino Linotype" w:hAnsi="Palatino Linotype" w:cs="Calibri"/>
          <w:color w:val="000000"/>
          <w:spacing w:val="-10"/>
          <w:sz w:val="22"/>
          <w:szCs w:val="22"/>
        </w:rPr>
      </w:pPr>
    </w:p>
    <w:p w:rsidR="00335874" w:rsidRPr="004A6E05" w:rsidRDefault="00335874" w:rsidP="00747260">
      <w:pPr>
        <w:pStyle w:val="ListParagraph"/>
        <w:numPr>
          <w:ilvl w:val="0"/>
          <w:numId w:val="11"/>
        </w:numPr>
        <w:jc w:val="both"/>
        <w:rPr>
          <w:rFonts w:ascii="Palatino Linotype" w:hAnsi="Palatino Linotype" w:cs="Calibri"/>
          <w:color w:val="000000"/>
          <w:spacing w:val="-10"/>
          <w:sz w:val="22"/>
          <w:szCs w:val="22"/>
        </w:rPr>
      </w:pPr>
      <w:r w:rsidRPr="004A6E05">
        <w:rPr>
          <w:rFonts w:ascii="Palatino Linotype" w:hAnsi="Palatino Linotype"/>
          <w:spacing w:val="-10"/>
          <w:sz w:val="22"/>
          <w:szCs w:val="22"/>
        </w:rPr>
        <w:t xml:space="preserve">Encourage and facilitate HFA adherence to the Board-adopted </w:t>
      </w:r>
      <w:r w:rsidRPr="004A6E05">
        <w:rPr>
          <w:rFonts w:ascii="Palatino Linotype" w:hAnsi="Palatino Linotype"/>
          <w:i/>
          <w:spacing w:val="-10"/>
          <w:sz w:val="22"/>
          <w:szCs w:val="22"/>
        </w:rPr>
        <w:t>HFA Advocacy Compact</w:t>
      </w:r>
      <w:r w:rsidRPr="004A6E05">
        <w:rPr>
          <w:rFonts w:ascii="Palatino Linotype" w:hAnsi="Palatino Linotype"/>
          <w:spacing w:val="-10"/>
          <w:sz w:val="22"/>
          <w:szCs w:val="22"/>
        </w:rPr>
        <w:t xml:space="preserve">, asking for </w:t>
      </w:r>
      <w:r w:rsidR="00670ECF">
        <w:rPr>
          <w:rFonts w:ascii="Palatino Linotype" w:hAnsi="Palatino Linotype"/>
          <w:spacing w:val="-10"/>
          <w:sz w:val="22"/>
          <w:szCs w:val="22"/>
        </w:rPr>
        <w:t>HFAs’</w:t>
      </w:r>
      <w:r w:rsidRPr="004A6E05">
        <w:rPr>
          <w:rFonts w:ascii="Palatino Linotype" w:hAnsi="Palatino Linotype"/>
          <w:spacing w:val="-10"/>
          <w:sz w:val="22"/>
          <w:szCs w:val="22"/>
        </w:rPr>
        <w:t xml:space="preserve"> continued commitment to their federal advocacy work.</w:t>
      </w:r>
    </w:p>
    <w:p w:rsidR="004D2DF0" w:rsidRDefault="004D2DF0" w:rsidP="00747260">
      <w:pPr>
        <w:tabs>
          <w:tab w:val="left" w:pos="3600"/>
        </w:tabs>
        <w:ind w:left="3600" w:hanging="3600"/>
        <w:jc w:val="both"/>
        <w:outlineLvl w:val="0"/>
        <w:rPr>
          <w:rFonts w:ascii="Palatino Linotype" w:hAnsi="Palatino Linotype"/>
          <w:b/>
          <w:bCs/>
          <w:spacing w:val="-10"/>
          <w:sz w:val="22"/>
          <w:szCs w:val="22"/>
        </w:rPr>
      </w:pPr>
    </w:p>
    <w:p w:rsidR="00F26E0D" w:rsidRPr="0057522A" w:rsidRDefault="00F26E0D" w:rsidP="00F26E0D">
      <w:pPr>
        <w:pStyle w:val="ListParagraph"/>
        <w:numPr>
          <w:ilvl w:val="0"/>
          <w:numId w:val="11"/>
        </w:numPr>
        <w:tabs>
          <w:tab w:val="left" w:pos="3600"/>
        </w:tabs>
        <w:jc w:val="both"/>
        <w:outlineLvl w:val="0"/>
        <w:rPr>
          <w:rFonts w:ascii="Palatino Linotype" w:hAnsi="Palatino Linotype"/>
          <w:bCs/>
          <w:spacing w:val="-10"/>
          <w:sz w:val="22"/>
          <w:szCs w:val="22"/>
        </w:rPr>
      </w:pPr>
      <w:r w:rsidRPr="0057522A">
        <w:rPr>
          <w:rFonts w:ascii="Palatino Linotype" w:hAnsi="Palatino Linotype"/>
          <w:bCs/>
          <w:spacing w:val="-10"/>
          <w:sz w:val="22"/>
          <w:szCs w:val="22"/>
        </w:rPr>
        <w:t xml:space="preserve">Assist HFAs in the implementation of HUD’s new Affirmatively Furthering Fair Housing rule, including the </w:t>
      </w:r>
      <w:r w:rsidR="00C52A05">
        <w:rPr>
          <w:rFonts w:ascii="Palatino Linotype" w:hAnsi="Palatino Linotype"/>
          <w:bCs/>
          <w:spacing w:val="-10"/>
          <w:sz w:val="22"/>
          <w:szCs w:val="22"/>
        </w:rPr>
        <w:t xml:space="preserve">design and </w:t>
      </w:r>
      <w:r w:rsidRPr="0057522A">
        <w:rPr>
          <w:rFonts w:ascii="Palatino Linotype" w:hAnsi="Palatino Linotype"/>
          <w:bCs/>
          <w:spacing w:val="-10"/>
          <w:sz w:val="22"/>
          <w:szCs w:val="22"/>
        </w:rPr>
        <w:t xml:space="preserve">use of </w:t>
      </w:r>
      <w:r w:rsidR="00C52A05">
        <w:rPr>
          <w:rFonts w:ascii="Palatino Linotype" w:hAnsi="Palatino Linotype"/>
          <w:bCs/>
          <w:spacing w:val="-10"/>
          <w:sz w:val="22"/>
          <w:szCs w:val="22"/>
        </w:rPr>
        <w:t xml:space="preserve">a HUD state </w:t>
      </w:r>
      <w:r w:rsidRPr="0057522A">
        <w:rPr>
          <w:rFonts w:ascii="Palatino Linotype" w:hAnsi="Palatino Linotype"/>
          <w:bCs/>
          <w:spacing w:val="-10"/>
          <w:sz w:val="22"/>
          <w:szCs w:val="22"/>
        </w:rPr>
        <w:t xml:space="preserve">assessment tool </w:t>
      </w:r>
      <w:r w:rsidR="00C52A05">
        <w:rPr>
          <w:rFonts w:ascii="Palatino Linotype" w:hAnsi="Palatino Linotype"/>
          <w:bCs/>
          <w:spacing w:val="-10"/>
          <w:sz w:val="22"/>
          <w:szCs w:val="22"/>
        </w:rPr>
        <w:t>and the sharing of emerging HFA practices</w:t>
      </w:r>
      <w:r w:rsidRPr="0057522A">
        <w:rPr>
          <w:rFonts w:ascii="Palatino Linotype" w:hAnsi="Palatino Linotype"/>
          <w:bCs/>
          <w:spacing w:val="-10"/>
          <w:sz w:val="22"/>
          <w:szCs w:val="22"/>
        </w:rPr>
        <w:t>.</w:t>
      </w:r>
    </w:p>
    <w:p w:rsidR="004D2DF0" w:rsidRDefault="004D2DF0" w:rsidP="004D2DF0">
      <w:pPr>
        <w:tabs>
          <w:tab w:val="left" w:pos="3600"/>
        </w:tabs>
        <w:ind w:left="3600" w:hanging="3600"/>
        <w:jc w:val="center"/>
        <w:outlineLvl w:val="0"/>
        <w:rPr>
          <w:rFonts w:ascii="Palatino Linotype" w:hAnsi="Palatino Linotype"/>
          <w:b/>
          <w:bCs/>
          <w:spacing w:val="-10"/>
          <w:sz w:val="22"/>
          <w:szCs w:val="22"/>
        </w:rPr>
      </w:pPr>
    </w:p>
    <w:p w:rsidR="00F26E0D" w:rsidRPr="004D2DF0" w:rsidRDefault="00F26E0D" w:rsidP="004D2DF0">
      <w:pPr>
        <w:tabs>
          <w:tab w:val="left" w:pos="3600"/>
        </w:tabs>
        <w:ind w:left="3600" w:hanging="3600"/>
        <w:jc w:val="center"/>
        <w:outlineLvl w:val="0"/>
        <w:rPr>
          <w:rFonts w:ascii="Palatino Linotype" w:hAnsi="Palatino Linotype"/>
          <w:b/>
          <w:bCs/>
          <w:spacing w:val="-10"/>
          <w:sz w:val="22"/>
          <w:szCs w:val="22"/>
        </w:rPr>
      </w:pPr>
    </w:p>
    <w:p w:rsidR="00BA3CB6" w:rsidRDefault="00BA3CB6">
      <w:pPr>
        <w:rPr>
          <w:rFonts w:ascii="Palatino Linotype" w:hAnsi="Palatino Linotype"/>
          <w:b/>
          <w:bCs/>
          <w:spacing w:val="-10"/>
          <w:sz w:val="22"/>
          <w:szCs w:val="22"/>
        </w:rPr>
      </w:pPr>
      <w:r>
        <w:rPr>
          <w:rFonts w:ascii="Palatino Linotype" w:hAnsi="Palatino Linotype"/>
          <w:b/>
          <w:bCs/>
          <w:spacing w:val="-10"/>
          <w:sz w:val="22"/>
          <w:szCs w:val="22"/>
        </w:rPr>
        <w:br w:type="page"/>
      </w:r>
    </w:p>
    <w:p w:rsidR="0016469C" w:rsidRPr="004D2DF0" w:rsidRDefault="0016469C" w:rsidP="004D2DF0">
      <w:pPr>
        <w:tabs>
          <w:tab w:val="left" w:pos="3600"/>
        </w:tabs>
        <w:ind w:left="3600" w:hanging="3600"/>
        <w:jc w:val="center"/>
        <w:outlineLvl w:val="0"/>
        <w:rPr>
          <w:rFonts w:ascii="Palatino Linotype" w:hAnsi="Palatino Linotype"/>
          <w:b/>
          <w:bCs/>
          <w:spacing w:val="-10"/>
          <w:sz w:val="22"/>
          <w:szCs w:val="22"/>
        </w:rPr>
      </w:pPr>
      <w:r w:rsidRPr="004D2DF0">
        <w:rPr>
          <w:rFonts w:ascii="Palatino Linotype" w:hAnsi="Palatino Linotype"/>
          <w:b/>
          <w:bCs/>
          <w:spacing w:val="-10"/>
          <w:sz w:val="22"/>
          <w:szCs w:val="22"/>
        </w:rPr>
        <w:lastRenderedPageBreak/>
        <w:t>Legislative and Regulatory Priorities</w:t>
      </w:r>
    </w:p>
    <w:p w:rsidR="0016469C" w:rsidRPr="004D2DF0" w:rsidRDefault="0016469C" w:rsidP="004D2DF0">
      <w:pPr>
        <w:pStyle w:val="BodyText2"/>
        <w:rPr>
          <w:rFonts w:ascii="Palatino Linotype" w:hAnsi="Palatino Linotype"/>
          <w:b w:val="0"/>
          <w:bCs w:val="0"/>
          <w:spacing w:val="-10"/>
          <w:sz w:val="22"/>
          <w:szCs w:val="22"/>
        </w:rPr>
      </w:pPr>
    </w:p>
    <w:p w:rsidR="0016469C" w:rsidRPr="004D2DF0" w:rsidRDefault="004D2DF0" w:rsidP="004D2DF0">
      <w:pPr>
        <w:pStyle w:val="BodyText2"/>
        <w:rPr>
          <w:rFonts w:ascii="Palatino Linotype" w:hAnsi="Palatino Linotype"/>
          <w:b w:val="0"/>
          <w:bCs w:val="0"/>
          <w:spacing w:val="-10"/>
          <w:sz w:val="22"/>
          <w:szCs w:val="22"/>
          <w:u w:val="single"/>
        </w:rPr>
      </w:pPr>
      <w:r>
        <w:rPr>
          <w:rFonts w:ascii="Palatino Linotype" w:hAnsi="Palatino Linotype"/>
          <w:b w:val="0"/>
          <w:bCs w:val="0"/>
          <w:spacing w:val="-10"/>
          <w:sz w:val="22"/>
          <w:szCs w:val="22"/>
        </w:rPr>
        <w:t>In 201</w:t>
      </w:r>
      <w:r w:rsidR="00523808">
        <w:rPr>
          <w:rFonts w:ascii="Palatino Linotype" w:hAnsi="Palatino Linotype"/>
          <w:b w:val="0"/>
          <w:bCs w:val="0"/>
          <w:spacing w:val="-10"/>
          <w:sz w:val="22"/>
          <w:szCs w:val="22"/>
        </w:rPr>
        <w:t>6</w:t>
      </w:r>
      <w:r>
        <w:rPr>
          <w:rFonts w:ascii="Palatino Linotype" w:hAnsi="Palatino Linotype"/>
          <w:b w:val="0"/>
          <w:bCs w:val="0"/>
          <w:spacing w:val="-10"/>
          <w:sz w:val="22"/>
          <w:szCs w:val="22"/>
        </w:rPr>
        <w:t>, i</w:t>
      </w:r>
      <w:r w:rsidR="0016469C" w:rsidRPr="004D2DF0">
        <w:rPr>
          <w:rFonts w:ascii="Palatino Linotype" w:hAnsi="Palatino Linotype"/>
          <w:b w:val="0"/>
          <w:bCs w:val="0"/>
          <w:spacing w:val="-10"/>
          <w:sz w:val="22"/>
          <w:szCs w:val="22"/>
        </w:rPr>
        <w:t xml:space="preserve">n pursuit of </w:t>
      </w:r>
      <w:r>
        <w:rPr>
          <w:rFonts w:ascii="Palatino Linotype" w:hAnsi="Palatino Linotype"/>
          <w:b w:val="0"/>
          <w:bCs w:val="0"/>
          <w:spacing w:val="-10"/>
          <w:sz w:val="22"/>
          <w:szCs w:val="22"/>
        </w:rPr>
        <w:t>its goal of an affordabl</w:t>
      </w:r>
      <w:r w:rsidR="00145FAA">
        <w:rPr>
          <w:rFonts w:ascii="Palatino Linotype" w:hAnsi="Palatino Linotype"/>
          <w:b w:val="0"/>
          <w:bCs w:val="0"/>
          <w:spacing w:val="-10"/>
          <w:sz w:val="22"/>
          <w:szCs w:val="22"/>
        </w:rPr>
        <w:t>y</w:t>
      </w:r>
      <w:r>
        <w:rPr>
          <w:rFonts w:ascii="Palatino Linotype" w:hAnsi="Palatino Linotype"/>
          <w:b w:val="0"/>
          <w:bCs w:val="0"/>
          <w:spacing w:val="-10"/>
          <w:sz w:val="22"/>
          <w:szCs w:val="22"/>
        </w:rPr>
        <w:t xml:space="preserve"> housed nation, </w:t>
      </w:r>
      <w:r w:rsidR="0016469C" w:rsidRPr="004D2DF0">
        <w:rPr>
          <w:rFonts w:ascii="Palatino Linotype" w:hAnsi="Palatino Linotype"/>
          <w:b w:val="0"/>
          <w:bCs w:val="0"/>
          <w:spacing w:val="-10"/>
          <w:sz w:val="22"/>
          <w:szCs w:val="22"/>
        </w:rPr>
        <w:t>NCSHA will seek:</w:t>
      </w:r>
    </w:p>
    <w:p w:rsidR="004C1CBC" w:rsidRPr="004D2DF0" w:rsidRDefault="004C1CBC" w:rsidP="004D2DF0">
      <w:pPr>
        <w:pStyle w:val="BodyText2"/>
        <w:ind w:left="720"/>
        <w:rPr>
          <w:rFonts w:ascii="Palatino Linotype" w:hAnsi="Palatino Linotype"/>
          <w:b w:val="0"/>
          <w:bCs w:val="0"/>
          <w:spacing w:val="-10"/>
          <w:sz w:val="22"/>
          <w:szCs w:val="22"/>
        </w:rPr>
      </w:pPr>
    </w:p>
    <w:p w:rsidR="00B424FA" w:rsidRPr="004D2DF0" w:rsidRDefault="00A657CB" w:rsidP="001358AB">
      <w:pPr>
        <w:pStyle w:val="BodyText2"/>
        <w:numPr>
          <w:ilvl w:val="0"/>
          <w:numId w:val="1"/>
        </w:numPr>
        <w:rPr>
          <w:rFonts w:ascii="Palatino Linotype" w:hAnsi="Palatino Linotype"/>
          <w:b w:val="0"/>
          <w:bCs w:val="0"/>
          <w:spacing w:val="-10"/>
          <w:sz w:val="22"/>
          <w:szCs w:val="22"/>
        </w:rPr>
      </w:pPr>
      <w:r w:rsidRPr="004D2DF0">
        <w:rPr>
          <w:rFonts w:ascii="Palatino Linotype" w:hAnsi="Palatino Linotype"/>
          <w:b w:val="0"/>
          <w:bCs w:val="0"/>
          <w:spacing w:val="-10"/>
          <w:sz w:val="22"/>
          <w:szCs w:val="22"/>
        </w:rPr>
        <w:t xml:space="preserve">To </w:t>
      </w:r>
      <w:r w:rsidR="00116DA4" w:rsidRPr="004D2DF0">
        <w:rPr>
          <w:rFonts w:ascii="Palatino Linotype" w:hAnsi="Palatino Linotype"/>
          <w:b w:val="0"/>
          <w:bCs w:val="0"/>
          <w:spacing w:val="-10"/>
          <w:sz w:val="22"/>
          <w:szCs w:val="22"/>
        </w:rPr>
        <w:t xml:space="preserve">protect, </w:t>
      </w:r>
      <w:r w:rsidRPr="004D2DF0">
        <w:rPr>
          <w:rFonts w:ascii="Palatino Linotype" w:hAnsi="Palatino Linotype"/>
          <w:b w:val="0"/>
          <w:bCs w:val="0"/>
          <w:spacing w:val="-10"/>
          <w:sz w:val="22"/>
          <w:szCs w:val="22"/>
        </w:rPr>
        <w:t>strengthen</w:t>
      </w:r>
      <w:r w:rsidR="00116DA4" w:rsidRPr="004D2DF0">
        <w:rPr>
          <w:rFonts w:ascii="Palatino Linotype" w:hAnsi="Palatino Linotype"/>
          <w:b w:val="0"/>
          <w:bCs w:val="0"/>
          <w:spacing w:val="-10"/>
          <w:sz w:val="22"/>
          <w:szCs w:val="22"/>
        </w:rPr>
        <w:t>,</w:t>
      </w:r>
      <w:r w:rsidRPr="004D2DF0">
        <w:rPr>
          <w:rFonts w:ascii="Palatino Linotype" w:hAnsi="Palatino Linotype"/>
          <w:b w:val="0"/>
          <w:bCs w:val="0"/>
          <w:spacing w:val="-10"/>
          <w:sz w:val="22"/>
          <w:szCs w:val="22"/>
        </w:rPr>
        <w:t xml:space="preserve"> and expand the production potential of </w:t>
      </w:r>
      <w:r w:rsidR="00E115F1">
        <w:rPr>
          <w:rFonts w:ascii="Palatino Linotype" w:hAnsi="Palatino Linotype"/>
          <w:b w:val="0"/>
          <w:bCs w:val="0"/>
          <w:spacing w:val="-10"/>
          <w:sz w:val="22"/>
          <w:szCs w:val="22"/>
        </w:rPr>
        <w:t xml:space="preserve">the </w:t>
      </w:r>
      <w:r w:rsidR="00467D9D" w:rsidRPr="004D2DF0">
        <w:rPr>
          <w:rFonts w:ascii="Palatino Linotype" w:hAnsi="Palatino Linotype"/>
          <w:b w:val="0"/>
          <w:bCs w:val="0"/>
          <w:spacing w:val="-10"/>
          <w:sz w:val="22"/>
          <w:szCs w:val="22"/>
        </w:rPr>
        <w:t xml:space="preserve">tax-exempt </w:t>
      </w:r>
      <w:r w:rsidR="00BB3533">
        <w:rPr>
          <w:rFonts w:ascii="Palatino Linotype" w:hAnsi="Palatino Linotype"/>
          <w:b w:val="0"/>
          <w:bCs w:val="0"/>
          <w:spacing w:val="-10"/>
          <w:sz w:val="22"/>
          <w:szCs w:val="22"/>
        </w:rPr>
        <w:t xml:space="preserve">private activity </w:t>
      </w:r>
      <w:r w:rsidR="000C2E2A" w:rsidRPr="004D2DF0">
        <w:rPr>
          <w:rFonts w:ascii="Palatino Linotype" w:hAnsi="Palatino Linotype"/>
          <w:b w:val="0"/>
          <w:bCs w:val="0"/>
          <w:spacing w:val="-10"/>
          <w:sz w:val="22"/>
          <w:szCs w:val="22"/>
        </w:rPr>
        <w:t>H</w:t>
      </w:r>
      <w:r w:rsidR="00526785">
        <w:rPr>
          <w:rFonts w:ascii="Palatino Linotype" w:hAnsi="Palatino Linotype"/>
          <w:b w:val="0"/>
          <w:bCs w:val="0"/>
          <w:spacing w:val="-10"/>
          <w:sz w:val="22"/>
          <w:szCs w:val="22"/>
        </w:rPr>
        <w:t xml:space="preserve">ousing Bond </w:t>
      </w:r>
      <w:r w:rsidR="00E115F1">
        <w:rPr>
          <w:rFonts w:ascii="Palatino Linotype" w:hAnsi="Palatino Linotype"/>
          <w:b w:val="0"/>
          <w:bCs w:val="0"/>
          <w:spacing w:val="-10"/>
          <w:sz w:val="22"/>
          <w:szCs w:val="22"/>
        </w:rPr>
        <w:t>program</w:t>
      </w:r>
      <w:r w:rsidR="00526785">
        <w:rPr>
          <w:rFonts w:ascii="Palatino Linotype" w:hAnsi="Palatino Linotype"/>
          <w:b w:val="0"/>
          <w:bCs w:val="0"/>
          <w:spacing w:val="-10"/>
          <w:sz w:val="22"/>
          <w:szCs w:val="22"/>
        </w:rPr>
        <w:t xml:space="preserve"> (</w:t>
      </w:r>
      <w:r w:rsidR="000128BC">
        <w:rPr>
          <w:rFonts w:ascii="Palatino Linotype" w:hAnsi="Palatino Linotype"/>
          <w:b w:val="0"/>
          <w:bCs w:val="0"/>
          <w:spacing w:val="-10"/>
          <w:sz w:val="22"/>
          <w:szCs w:val="22"/>
        </w:rPr>
        <w:t xml:space="preserve">and </w:t>
      </w:r>
      <w:r w:rsidR="00526785">
        <w:rPr>
          <w:rFonts w:ascii="Palatino Linotype" w:hAnsi="Palatino Linotype"/>
          <w:b w:val="0"/>
          <w:bCs w:val="0"/>
          <w:spacing w:val="-10"/>
          <w:sz w:val="22"/>
          <w:szCs w:val="22"/>
        </w:rPr>
        <w:t xml:space="preserve">its Mortgage Credit Certificate option) </w:t>
      </w:r>
      <w:r w:rsidR="004C1CBC" w:rsidRPr="004D2DF0">
        <w:rPr>
          <w:rFonts w:ascii="Palatino Linotype" w:hAnsi="Palatino Linotype"/>
          <w:b w:val="0"/>
          <w:bCs w:val="0"/>
          <w:spacing w:val="-10"/>
          <w:sz w:val="22"/>
          <w:szCs w:val="22"/>
        </w:rPr>
        <w:t xml:space="preserve">and </w:t>
      </w:r>
      <w:r w:rsidR="00526785">
        <w:rPr>
          <w:rFonts w:ascii="Palatino Linotype" w:hAnsi="Palatino Linotype"/>
          <w:b w:val="0"/>
          <w:bCs w:val="0"/>
          <w:spacing w:val="-10"/>
          <w:sz w:val="22"/>
          <w:szCs w:val="22"/>
        </w:rPr>
        <w:t xml:space="preserve">the </w:t>
      </w:r>
      <w:r w:rsidR="00467D9D" w:rsidRPr="004D2DF0">
        <w:rPr>
          <w:rFonts w:ascii="Palatino Linotype" w:hAnsi="Palatino Linotype"/>
          <w:b w:val="0"/>
          <w:bCs w:val="0"/>
          <w:spacing w:val="-10"/>
          <w:sz w:val="22"/>
          <w:szCs w:val="22"/>
        </w:rPr>
        <w:t xml:space="preserve">Low Income Housing Tax </w:t>
      </w:r>
      <w:r w:rsidR="00526785">
        <w:rPr>
          <w:rFonts w:ascii="Palatino Linotype" w:hAnsi="Palatino Linotype"/>
          <w:b w:val="0"/>
          <w:bCs w:val="0"/>
          <w:spacing w:val="-10"/>
          <w:sz w:val="22"/>
          <w:szCs w:val="22"/>
        </w:rPr>
        <w:t>Credit</w:t>
      </w:r>
      <w:r w:rsidR="00593F54">
        <w:rPr>
          <w:rFonts w:ascii="Palatino Linotype" w:hAnsi="Palatino Linotype"/>
          <w:b w:val="0"/>
          <w:bCs w:val="0"/>
          <w:spacing w:val="-10"/>
          <w:sz w:val="22"/>
          <w:szCs w:val="22"/>
        </w:rPr>
        <w:t xml:space="preserve">, including </w:t>
      </w:r>
      <w:r w:rsidR="002809BF">
        <w:rPr>
          <w:rFonts w:ascii="Palatino Linotype" w:hAnsi="Palatino Linotype"/>
          <w:b w:val="0"/>
          <w:bCs w:val="0"/>
          <w:spacing w:val="-10"/>
          <w:sz w:val="22"/>
          <w:szCs w:val="22"/>
        </w:rPr>
        <w:t xml:space="preserve">by preserving the 4 percent Credit program that depends on Housing Bonds and by increasing </w:t>
      </w:r>
      <w:r w:rsidR="00593F54">
        <w:rPr>
          <w:rFonts w:ascii="Palatino Linotype" w:hAnsi="Palatino Linotype"/>
          <w:b w:val="0"/>
          <w:bCs w:val="0"/>
          <w:spacing w:val="-10"/>
          <w:sz w:val="22"/>
          <w:szCs w:val="22"/>
        </w:rPr>
        <w:t>state Housing Credit authority</w:t>
      </w:r>
      <w:r w:rsidR="002D503B">
        <w:rPr>
          <w:rFonts w:ascii="Palatino Linotype" w:hAnsi="Palatino Linotype"/>
          <w:b w:val="0"/>
          <w:bCs w:val="0"/>
          <w:spacing w:val="-10"/>
          <w:sz w:val="22"/>
          <w:szCs w:val="22"/>
        </w:rPr>
        <w:t>.</w:t>
      </w:r>
      <w:r w:rsidR="002809BF">
        <w:rPr>
          <w:rFonts w:ascii="Palatino Linotype" w:hAnsi="Palatino Linotype"/>
          <w:b w:val="0"/>
          <w:bCs w:val="0"/>
          <w:spacing w:val="-10"/>
          <w:sz w:val="22"/>
          <w:szCs w:val="22"/>
        </w:rPr>
        <w:t xml:space="preserve"> </w:t>
      </w:r>
      <w:r w:rsidR="00B424FA" w:rsidRPr="004D2DF0">
        <w:rPr>
          <w:rFonts w:ascii="Palatino Linotype" w:hAnsi="Palatino Linotype" w:cs="Courier New"/>
          <w:b w:val="0"/>
          <w:spacing w:val="-10"/>
          <w:sz w:val="22"/>
          <w:szCs w:val="22"/>
        </w:rPr>
        <w:t xml:space="preserve">  </w:t>
      </w:r>
    </w:p>
    <w:p w:rsidR="00B424FA" w:rsidRPr="004D2DF0" w:rsidRDefault="00B424FA" w:rsidP="001358AB">
      <w:pPr>
        <w:pStyle w:val="BodyText2"/>
        <w:tabs>
          <w:tab w:val="num" w:pos="720"/>
        </w:tabs>
        <w:ind w:left="720"/>
        <w:rPr>
          <w:rFonts w:ascii="Palatino Linotype" w:hAnsi="Palatino Linotype"/>
          <w:b w:val="0"/>
          <w:bCs w:val="0"/>
          <w:spacing w:val="-10"/>
          <w:sz w:val="22"/>
          <w:szCs w:val="22"/>
        </w:rPr>
      </w:pPr>
    </w:p>
    <w:p w:rsidR="00A657CB" w:rsidRPr="004D2DF0" w:rsidRDefault="00285BC5" w:rsidP="001358AB">
      <w:pPr>
        <w:pStyle w:val="BodyText2"/>
        <w:numPr>
          <w:ilvl w:val="0"/>
          <w:numId w:val="3"/>
        </w:numPr>
        <w:rPr>
          <w:rFonts w:ascii="Palatino Linotype" w:hAnsi="Palatino Linotype"/>
          <w:b w:val="0"/>
          <w:bCs w:val="0"/>
          <w:spacing w:val="-10"/>
          <w:sz w:val="22"/>
          <w:szCs w:val="22"/>
        </w:rPr>
      </w:pPr>
      <w:r w:rsidRPr="004D2DF0">
        <w:rPr>
          <w:rFonts w:ascii="Palatino Linotype" w:hAnsi="Palatino Linotype"/>
          <w:b w:val="0"/>
          <w:bCs w:val="0"/>
          <w:spacing w:val="-10"/>
          <w:sz w:val="22"/>
          <w:szCs w:val="22"/>
        </w:rPr>
        <w:t>A</w:t>
      </w:r>
      <w:r w:rsidR="00A657CB" w:rsidRPr="004D2DF0">
        <w:rPr>
          <w:rFonts w:ascii="Palatino Linotype" w:hAnsi="Palatino Linotype"/>
          <w:b w:val="0"/>
          <w:bCs w:val="0"/>
          <w:spacing w:val="-10"/>
          <w:sz w:val="22"/>
          <w:szCs w:val="22"/>
        </w:rPr>
        <w:t xml:space="preserve"> strong secondary mortgage market </w:t>
      </w:r>
      <w:r w:rsidR="00F9629F" w:rsidRPr="004D2DF0">
        <w:rPr>
          <w:rFonts w:ascii="Palatino Linotype" w:hAnsi="Palatino Linotype"/>
          <w:b w:val="0"/>
          <w:bCs w:val="0"/>
          <w:spacing w:val="-10"/>
          <w:sz w:val="22"/>
          <w:szCs w:val="22"/>
        </w:rPr>
        <w:t xml:space="preserve">system </w:t>
      </w:r>
      <w:r w:rsidR="00175131" w:rsidRPr="004D2DF0">
        <w:rPr>
          <w:rFonts w:ascii="Palatino Linotype" w:hAnsi="Palatino Linotype"/>
          <w:b w:val="0"/>
          <w:bCs w:val="0"/>
          <w:spacing w:val="-10"/>
          <w:sz w:val="22"/>
          <w:szCs w:val="22"/>
        </w:rPr>
        <w:t xml:space="preserve">with a robust affordable housing mission </w:t>
      </w:r>
      <w:r w:rsidR="00A657CB" w:rsidRPr="004D2DF0">
        <w:rPr>
          <w:rFonts w:ascii="Palatino Linotype" w:hAnsi="Palatino Linotype"/>
          <w:b w:val="0"/>
          <w:bCs w:val="0"/>
          <w:spacing w:val="-10"/>
          <w:sz w:val="22"/>
          <w:szCs w:val="22"/>
        </w:rPr>
        <w:t xml:space="preserve">that engages HFAs as preferred affordable </w:t>
      </w:r>
      <w:r w:rsidR="00BB190A" w:rsidRPr="004D2DF0">
        <w:rPr>
          <w:rFonts w:ascii="Palatino Linotype" w:hAnsi="Palatino Linotype"/>
          <w:b w:val="0"/>
          <w:bCs w:val="0"/>
          <w:spacing w:val="-10"/>
          <w:sz w:val="22"/>
          <w:szCs w:val="22"/>
        </w:rPr>
        <w:t xml:space="preserve">housing </w:t>
      </w:r>
      <w:r w:rsidR="00A657CB" w:rsidRPr="004D2DF0">
        <w:rPr>
          <w:rFonts w:ascii="Palatino Linotype" w:hAnsi="Palatino Linotype"/>
          <w:b w:val="0"/>
          <w:bCs w:val="0"/>
          <w:spacing w:val="-10"/>
          <w:sz w:val="22"/>
          <w:szCs w:val="22"/>
        </w:rPr>
        <w:t>lending partners</w:t>
      </w:r>
      <w:r w:rsidR="00525B9F" w:rsidRPr="004D2DF0">
        <w:rPr>
          <w:rFonts w:ascii="Palatino Linotype" w:hAnsi="Palatino Linotype"/>
          <w:b w:val="0"/>
          <w:bCs w:val="0"/>
          <w:spacing w:val="-10"/>
          <w:sz w:val="22"/>
          <w:szCs w:val="22"/>
        </w:rPr>
        <w:t xml:space="preserve"> in meeting the needs of low</w:t>
      </w:r>
      <w:r w:rsidR="00F21DBD">
        <w:rPr>
          <w:rFonts w:ascii="Palatino Linotype" w:hAnsi="Palatino Linotype"/>
          <w:b w:val="0"/>
          <w:bCs w:val="0"/>
          <w:spacing w:val="-10"/>
          <w:sz w:val="22"/>
          <w:szCs w:val="22"/>
        </w:rPr>
        <w:t>-</w:t>
      </w:r>
      <w:r w:rsidR="00525B9F" w:rsidRPr="004D2DF0">
        <w:rPr>
          <w:rFonts w:ascii="Palatino Linotype" w:hAnsi="Palatino Linotype"/>
          <w:b w:val="0"/>
          <w:bCs w:val="0"/>
          <w:spacing w:val="-10"/>
          <w:sz w:val="22"/>
          <w:szCs w:val="22"/>
        </w:rPr>
        <w:t xml:space="preserve"> and moderate-income families</w:t>
      </w:r>
      <w:r w:rsidR="00A657CB" w:rsidRPr="004D2DF0">
        <w:rPr>
          <w:rFonts w:ascii="Palatino Linotype" w:hAnsi="Palatino Linotype"/>
          <w:b w:val="0"/>
          <w:bCs w:val="0"/>
          <w:spacing w:val="-10"/>
          <w:sz w:val="22"/>
          <w:szCs w:val="22"/>
        </w:rPr>
        <w:t xml:space="preserve">, enables them to </w:t>
      </w:r>
      <w:r w:rsidR="00E115F1">
        <w:rPr>
          <w:rFonts w:ascii="Palatino Linotype" w:hAnsi="Palatino Linotype"/>
          <w:b w:val="0"/>
          <w:bCs w:val="0"/>
          <w:spacing w:val="-10"/>
          <w:sz w:val="22"/>
          <w:szCs w:val="22"/>
        </w:rPr>
        <w:t>maximize</w:t>
      </w:r>
      <w:r w:rsidR="00A657CB" w:rsidRPr="004D2DF0">
        <w:rPr>
          <w:rFonts w:ascii="Palatino Linotype" w:hAnsi="Palatino Linotype"/>
          <w:b w:val="0"/>
          <w:bCs w:val="0"/>
          <w:spacing w:val="-10"/>
          <w:sz w:val="22"/>
          <w:szCs w:val="22"/>
        </w:rPr>
        <w:t xml:space="preserve"> their lending p</w:t>
      </w:r>
      <w:r w:rsidR="00E115F1">
        <w:rPr>
          <w:rFonts w:ascii="Palatino Linotype" w:hAnsi="Palatino Linotype"/>
          <w:b w:val="0"/>
          <w:bCs w:val="0"/>
          <w:spacing w:val="-10"/>
          <w:sz w:val="22"/>
          <w:szCs w:val="22"/>
        </w:rPr>
        <w:t>otential</w:t>
      </w:r>
      <w:r w:rsidR="00A657CB" w:rsidRPr="004D2DF0">
        <w:rPr>
          <w:rFonts w:ascii="Palatino Linotype" w:hAnsi="Palatino Linotype"/>
          <w:b w:val="0"/>
          <w:bCs w:val="0"/>
          <w:spacing w:val="-10"/>
          <w:sz w:val="22"/>
          <w:szCs w:val="22"/>
        </w:rPr>
        <w:t>, and respon</w:t>
      </w:r>
      <w:r w:rsidRPr="004D2DF0">
        <w:rPr>
          <w:rFonts w:ascii="Palatino Linotype" w:hAnsi="Palatino Linotype"/>
          <w:b w:val="0"/>
          <w:bCs w:val="0"/>
          <w:spacing w:val="-10"/>
          <w:sz w:val="22"/>
          <w:szCs w:val="22"/>
        </w:rPr>
        <w:t>d</w:t>
      </w:r>
      <w:r w:rsidR="00A657CB" w:rsidRPr="004D2DF0">
        <w:rPr>
          <w:rFonts w:ascii="Palatino Linotype" w:hAnsi="Palatino Linotype"/>
          <w:b w:val="0"/>
          <w:bCs w:val="0"/>
          <w:spacing w:val="-10"/>
          <w:sz w:val="22"/>
          <w:szCs w:val="22"/>
        </w:rPr>
        <w:t>s to their capital and liquidity needs</w:t>
      </w:r>
      <w:r w:rsidR="00526785">
        <w:rPr>
          <w:rFonts w:ascii="Palatino Linotype" w:hAnsi="Palatino Linotype"/>
          <w:b w:val="0"/>
          <w:bCs w:val="0"/>
          <w:spacing w:val="-10"/>
          <w:sz w:val="22"/>
          <w:szCs w:val="22"/>
        </w:rPr>
        <w:t>, including through any successor entities to Fannie Mae and Freddie Mac</w:t>
      </w:r>
      <w:r w:rsidR="00A657CB" w:rsidRPr="004D2DF0">
        <w:rPr>
          <w:rFonts w:ascii="Palatino Linotype" w:hAnsi="Palatino Linotype"/>
          <w:b w:val="0"/>
          <w:bCs w:val="0"/>
          <w:spacing w:val="-10"/>
          <w:sz w:val="22"/>
          <w:szCs w:val="22"/>
        </w:rPr>
        <w:t xml:space="preserve">.  </w:t>
      </w:r>
    </w:p>
    <w:p w:rsidR="00A657CB" w:rsidRPr="004D2DF0" w:rsidRDefault="00A657CB" w:rsidP="001358AB">
      <w:pPr>
        <w:pStyle w:val="BodyText2"/>
        <w:tabs>
          <w:tab w:val="num" w:pos="720"/>
        </w:tabs>
        <w:ind w:left="720"/>
        <w:rPr>
          <w:rFonts w:ascii="Palatino Linotype" w:hAnsi="Palatino Linotype"/>
          <w:b w:val="0"/>
          <w:bCs w:val="0"/>
          <w:spacing w:val="-10"/>
          <w:sz w:val="22"/>
          <w:szCs w:val="22"/>
        </w:rPr>
      </w:pPr>
    </w:p>
    <w:p w:rsidR="00A657CB" w:rsidRPr="004D2DF0" w:rsidRDefault="00A657CB" w:rsidP="001358AB">
      <w:pPr>
        <w:pStyle w:val="BodyText2"/>
        <w:numPr>
          <w:ilvl w:val="0"/>
          <w:numId w:val="3"/>
        </w:numPr>
        <w:rPr>
          <w:rFonts w:ascii="Palatino Linotype" w:hAnsi="Palatino Linotype"/>
          <w:b w:val="0"/>
          <w:bCs w:val="0"/>
          <w:spacing w:val="-10"/>
          <w:sz w:val="22"/>
          <w:szCs w:val="22"/>
        </w:rPr>
      </w:pPr>
      <w:r w:rsidRPr="004D2DF0">
        <w:rPr>
          <w:rFonts w:ascii="Palatino Linotype" w:hAnsi="Palatino Linotype"/>
          <w:b w:val="0"/>
          <w:bCs w:val="0"/>
          <w:spacing w:val="-10"/>
          <w:sz w:val="22"/>
          <w:szCs w:val="22"/>
        </w:rPr>
        <w:t>To work with the Federal Housing Finance Agency</w:t>
      </w:r>
      <w:r w:rsidR="000924F7">
        <w:rPr>
          <w:rFonts w:ascii="Palatino Linotype" w:hAnsi="Palatino Linotype"/>
          <w:b w:val="0"/>
          <w:bCs w:val="0"/>
          <w:spacing w:val="-10"/>
          <w:sz w:val="22"/>
          <w:szCs w:val="22"/>
        </w:rPr>
        <w:t xml:space="preserve"> (FHFA)</w:t>
      </w:r>
      <w:r w:rsidRPr="004D2DF0">
        <w:rPr>
          <w:rFonts w:ascii="Palatino Linotype" w:hAnsi="Palatino Linotype"/>
          <w:b w:val="0"/>
          <w:bCs w:val="0"/>
          <w:spacing w:val="-10"/>
          <w:sz w:val="22"/>
          <w:szCs w:val="22"/>
        </w:rPr>
        <w:t xml:space="preserve"> and the </w:t>
      </w:r>
      <w:r w:rsidR="00BB3533">
        <w:rPr>
          <w:rFonts w:ascii="Palatino Linotype" w:hAnsi="Palatino Linotype"/>
          <w:b w:val="0"/>
          <w:bCs w:val="0"/>
          <w:spacing w:val="-10"/>
          <w:sz w:val="22"/>
          <w:szCs w:val="22"/>
        </w:rPr>
        <w:t xml:space="preserve">government-sponsored enterprises (GSEs) </w:t>
      </w:r>
      <w:r w:rsidRPr="004D2DF0">
        <w:rPr>
          <w:rFonts w:ascii="Palatino Linotype" w:hAnsi="Palatino Linotype"/>
          <w:b w:val="0"/>
          <w:bCs w:val="0"/>
          <w:spacing w:val="-10"/>
          <w:sz w:val="22"/>
          <w:szCs w:val="22"/>
        </w:rPr>
        <w:t>it regulates to strengthen and expand HFA-</w:t>
      </w:r>
      <w:r w:rsidR="00BB3533">
        <w:rPr>
          <w:rFonts w:ascii="Palatino Linotype" w:hAnsi="Palatino Linotype"/>
          <w:b w:val="0"/>
          <w:bCs w:val="0"/>
          <w:spacing w:val="-10"/>
          <w:sz w:val="22"/>
          <w:szCs w:val="22"/>
        </w:rPr>
        <w:t>GSE</w:t>
      </w:r>
      <w:r w:rsidRPr="004D2DF0">
        <w:rPr>
          <w:rFonts w:ascii="Palatino Linotype" w:hAnsi="Palatino Linotype"/>
          <w:b w:val="0"/>
          <w:bCs w:val="0"/>
          <w:spacing w:val="-10"/>
          <w:sz w:val="22"/>
          <w:szCs w:val="22"/>
        </w:rPr>
        <w:t xml:space="preserve"> partnerships.</w:t>
      </w:r>
    </w:p>
    <w:p w:rsidR="006C3A96" w:rsidRPr="004D2DF0" w:rsidRDefault="006C3A96" w:rsidP="001358AB">
      <w:pPr>
        <w:pStyle w:val="BodyText2"/>
        <w:tabs>
          <w:tab w:val="num" w:pos="720"/>
        </w:tabs>
        <w:ind w:left="720"/>
        <w:rPr>
          <w:rFonts w:ascii="Palatino Linotype" w:hAnsi="Palatino Linotype"/>
          <w:b w:val="0"/>
          <w:bCs w:val="0"/>
          <w:spacing w:val="-10"/>
          <w:sz w:val="22"/>
          <w:szCs w:val="22"/>
        </w:rPr>
      </w:pPr>
    </w:p>
    <w:p w:rsidR="006C4549" w:rsidRPr="004D2DF0" w:rsidRDefault="00925836" w:rsidP="001358AB">
      <w:pPr>
        <w:pStyle w:val="BodyText2"/>
        <w:numPr>
          <w:ilvl w:val="0"/>
          <w:numId w:val="3"/>
        </w:numPr>
        <w:rPr>
          <w:rFonts w:ascii="Palatino Linotype" w:hAnsi="Palatino Linotype"/>
          <w:b w:val="0"/>
          <w:bCs w:val="0"/>
          <w:spacing w:val="-10"/>
          <w:sz w:val="22"/>
          <w:szCs w:val="22"/>
        </w:rPr>
      </w:pPr>
      <w:r w:rsidRPr="00925836">
        <w:rPr>
          <w:rFonts w:ascii="Palatino Linotype" w:hAnsi="Palatino Linotype"/>
          <w:b w:val="0"/>
          <w:bCs w:val="0"/>
          <w:spacing w:val="-10"/>
          <w:sz w:val="22"/>
          <w:szCs w:val="22"/>
        </w:rPr>
        <w:t>Protect and restore H</w:t>
      </w:r>
      <w:r w:rsidR="00F428C1" w:rsidRPr="00925836">
        <w:rPr>
          <w:rFonts w:ascii="Palatino Linotype" w:hAnsi="Palatino Linotype"/>
          <w:b w:val="0"/>
          <w:bCs w:val="0"/>
          <w:spacing w:val="-10"/>
          <w:sz w:val="22"/>
          <w:szCs w:val="22"/>
        </w:rPr>
        <w:t>OME funding</w:t>
      </w:r>
      <w:r w:rsidRPr="00925836">
        <w:rPr>
          <w:rFonts w:ascii="Palatino Linotype" w:hAnsi="Palatino Linotype"/>
          <w:b w:val="0"/>
          <w:spacing w:val="-10"/>
          <w:sz w:val="22"/>
          <w:szCs w:val="22"/>
        </w:rPr>
        <w:t xml:space="preserve">, while working to </w:t>
      </w:r>
      <w:r w:rsidR="00A657CB" w:rsidRPr="00925836">
        <w:rPr>
          <w:rFonts w:ascii="Palatino Linotype" w:hAnsi="Palatino Linotype"/>
          <w:b w:val="0"/>
          <w:bCs w:val="0"/>
          <w:spacing w:val="-10"/>
          <w:sz w:val="22"/>
          <w:szCs w:val="22"/>
        </w:rPr>
        <w:t xml:space="preserve">increase </w:t>
      </w:r>
      <w:r w:rsidRPr="00925836">
        <w:rPr>
          <w:rFonts w:ascii="Palatino Linotype" w:hAnsi="Palatino Linotype"/>
          <w:b w:val="0"/>
          <w:bCs w:val="0"/>
          <w:spacing w:val="-10"/>
          <w:sz w:val="22"/>
          <w:szCs w:val="22"/>
        </w:rPr>
        <w:t xml:space="preserve">program </w:t>
      </w:r>
      <w:r w:rsidR="00A657CB" w:rsidRPr="00925836">
        <w:rPr>
          <w:rFonts w:ascii="Palatino Linotype" w:hAnsi="Palatino Linotype"/>
          <w:b w:val="0"/>
          <w:bCs w:val="0"/>
          <w:spacing w:val="-10"/>
          <w:sz w:val="22"/>
          <w:szCs w:val="22"/>
        </w:rPr>
        <w:t>flexibility, improve efficiency, and eliminate needle</w:t>
      </w:r>
      <w:r w:rsidR="00B66682" w:rsidRPr="00925836">
        <w:rPr>
          <w:rFonts w:ascii="Palatino Linotype" w:hAnsi="Palatino Linotype"/>
          <w:b w:val="0"/>
          <w:bCs w:val="0"/>
          <w:spacing w:val="-10"/>
          <w:sz w:val="22"/>
          <w:szCs w:val="22"/>
        </w:rPr>
        <w:t>s</w:t>
      </w:r>
      <w:r w:rsidR="00A657CB" w:rsidRPr="00925836">
        <w:rPr>
          <w:rFonts w:ascii="Palatino Linotype" w:hAnsi="Palatino Linotype"/>
          <w:b w:val="0"/>
          <w:bCs w:val="0"/>
          <w:spacing w:val="-10"/>
          <w:sz w:val="22"/>
          <w:szCs w:val="22"/>
        </w:rPr>
        <w:t>s bureaucracy</w:t>
      </w:r>
      <w:r w:rsidR="0016469C" w:rsidRPr="004D2DF0">
        <w:rPr>
          <w:rFonts w:ascii="Palatino Linotype" w:hAnsi="Palatino Linotype"/>
          <w:b w:val="0"/>
          <w:bCs w:val="0"/>
          <w:spacing w:val="-10"/>
          <w:sz w:val="22"/>
          <w:szCs w:val="22"/>
        </w:rPr>
        <w:t>.</w:t>
      </w:r>
    </w:p>
    <w:p w:rsidR="006C4549" w:rsidRPr="004D2DF0" w:rsidRDefault="006C4549" w:rsidP="001358AB">
      <w:pPr>
        <w:pStyle w:val="BodyText2"/>
        <w:tabs>
          <w:tab w:val="num" w:pos="720"/>
        </w:tabs>
        <w:ind w:left="720"/>
        <w:rPr>
          <w:rFonts w:ascii="Palatino Linotype" w:hAnsi="Palatino Linotype"/>
          <w:b w:val="0"/>
          <w:bCs w:val="0"/>
          <w:spacing w:val="-10"/>
          <w:sz w:val="22"/>
          <w:szCs w:val="22"/>
        </w:rPr>
      </w:pPr>
    </w:p>
    <w:p w:rsidR="002D503B" w:rsidRDefault="00EC0117" w:rsidP="001358AB">
      <w:pPr>
        <w:numPr>
          <w:ilvl w:val="0"/>
          <w:numId w:val="1"/>
        </w:numPr>
        <w:jc w:val="both"/>
        <w:rPr>
          <w:rFonts w:ascii="Palatino Linotype" w:hAnsi="Palatino Linotype"/>
          <w:spacing w:val="-10"/>
          <w:sz w:val="22"/>
          <w:szCs w:val="22"/>
        </w:rPr>
      </w:pPr>
      <w:r w:rsidRPr="004D2DF0">
        <w:rPr>
          <w:rFonts w:ascii="Palatino Linotype" w:hAnsi="Palatino Linotype"/>
          <w:spacing w:val="-10"/>
          <w:sz w:val="22"/>
          <w:szCs w:val="22"/>
        </w:rPr>
        <w:t>Section 8 funding adequate to renew all authorized vouchers</w:t>
      </w:r>
      <w:r w:rsidR="00B66682" w:rsidRPr="004D2DF0">
        <w:rPr>
          <w:rFonts w:ascii="Palatino Linotype" w:hAnsi="Palatino Linotype"/>
          <w:spacing w:val="-10"/>
          <w:sz w:val="22"/>
          <w:szCs w:val="22"/>
        </w:rPr>
        <w:t>;</w:t>
      </w:r>
      <w:r w:rsidRPr="004D2DF0">
        <w:rPr>
          <w:rFonts w:ascii="Palatino Linotype" w:hAnsi="Palatino Linotype"/>
          <w:spacing w:val="-10"/>
          <w:sz w:val="22"/>
          <w:szCs w:val="22"/>
        </w:rPr>
        <w:t xml:space="preserve"> provide for new ones</w:t>
      </w:r>
      <w:r w:rsidR="00A657CB" w:rsidRPr="004D2DF0">
        <w:rPr>
          <w:rFonts w:ascii="Palatino Linotype" w:hAnsi="Palatino Linotype"/>
          <w:spacing w:val="-10"/>
          <w:sz w:val="22"/>
          <w:szCs w:val="22"/>
        </w:rPr>
        <w:t>; compensate PHAs fairly for their administrative costs;</w:t>
      </w:r>
      <w:r w:rsidRPr="004D2DF0">
        <w:rPr>
          <w:rFonts w:ascii="Palatino Linotype" w:hAnsi="Palatino Linotype"/>
          <w:spacing w:val="-10"/>
          <w:sz w:val="22"/>
          <w:szCs w:val="22"/>
        </w:rPr>
        <w:t xml:space="preserve"> and honor</w:t>
      </w:r>
      <w:r w:rsidR="00A657CB" w:rsidRPr="004D2DF0">
        <w:rPr>
          <w:rFonts w:ascii="Palatino Linotype" w:hAnsi="Palatino Linotype"/>
          <w:spacing w:val="-10"/>
          <w:sz w:val="22"/>
          <w:szCs w:val="22"/>
        </w:rPr>
        <w:t xml:space="preserve"> and, if expiring, extend</w:t>
      </w:r>
      <w:r w:rsidRPr="004D2DF0">
        <w:rPr>
          <w:rFonts w:ascii="Palatino Linotype" w:hAnsi="Palatino Linotype"/>
          <w:spacing w:val="-10"/>
          <w:sz w:val="22"/>
          <w:szCs w:val="22"/>
        </w:rPr>
        <w:t xml:space="preserve"> existing project-based assistance commitments.  </w:t>
      </w:r>
    </w:p>
    <w:p w:rsidR="002D503B" w:rsidRDefault="002D503B" w:rsidP="001358AB">
      <w:pPr>
        <w:tabs>
          <w:tab w:val="num" w:pos="720"/>
        </w:tabs>
        <w:ind w:left="720"/>
        <w:jc w:val="both"/>
        <w:rPr>
          <w:rFonts w:ascii="Palatino Linotype" w:hAnsi="Palatino Linotype"/>
          <w:spacing w:val="-10"/>
          <w:sz w:val="22"/>
          <w:szCs w:val="22"/>
        </w:rPr>
      </w:pPr>
    </w:p>
    <w:p w:rsidR="00EC0117" w:rsidRPr="004D2DF0" w:rsidRDefault="002D503B" w:rsidP="001358AB">
      <w:pPr>
        <w:numPr>
          <w:ilvl w:val="0"/>
          <w:numId w:val="1"/>
        </w:numPr>
        <w:jc w:val="both"/>
        <w:rPr>
          <w:rFonts w:ascii="Palatino Linotype" w:hAnsi="Palatino Linotype"/>
          <w:spacing w:val="-10"/>
          <w:sz w:val="22"/>
          <w:szCs w:val="22"/>
        </w:rPr>
      </w:pPr>
      <w:r>
        <w:rPr>
          <w:rFonts w:ascii="Palatino Linotype" w:hAnsi="Palatino Linotype"/>
          <w:spacing w:val="-10"/>
          <w:sz w:val="22"/>
          <w:szCs w:val="22"/>
        </w:rPr>
        <w:t>T</w:t>
      </w:r>
      <w:r w:rsidR="00747260">
        <w:rPr>
          <w:rFonts w:ascii="Palatino Linotype" w:hAnsi="Palatino Linotype"/>
          <w:spacing w:val="-10"/>
          <w:sz w:val="22"/>
          <w:szCs w:val="22"/>
        </w:rPr>
        <w:t xml:space="preserve">o aggressively represent the interests of HFAs </w:t>
      </w:r>
      <w:r w:rsidR="00E115F1">
        <w:rPr>
          <w:rFonts w:ascii="Palatino Linotype" w:hAnsi="Palatino Linotype"/>
          <w:spacing w:val="-10"/>
          <w:sz w:val="22"/>
          <w:szCs w:val="22"/>
        </w:rPr>
        <w:t xml:space="preserve">in HUD’s Performance-Based Contract </w:t>
      </w:r>
      <w:r w:rsidR="00E115F1" w:rsidRPr="005F6B4E">
        <w:rPr>
          <w:rFonts w:ascii="Palatino Linotype" w:hAnsi="Palatino Linotype"/>
          <w:spacing w:val="-10"/>
          <w:sz w:val="22"/>
          <w:szCs w:val="22"/>
        </w:rPr>
        <w:t xml:space="preserve">Administration (PBCA) program and </w:t>
      </w:r>
      <w:r w:rsidR="00BB3533" w:rsidRPr="005F6B4E">
        <w:rPr>
          <w:rFonts w:ascii="Palatino Linotype" w:hAnsi="Palatino Linotype"/>
          <w:spacing w:val="-10"/>
          <w:sz w:val="22"/>
          <w:szCs w:val="22"/>
        </w:rPr>
        <w:t xml:space="preserve">to </w:t>
      </w:r>
      <w:r w:rsidR="00747260" w:rsidRPr="005F6B4E">
        <w:rPr>
          <w:rFonts w:ascii="Palatino Linotype" w:hAnsi="Palatino Linotype"/>
          <w:spacing w:val="-10"/>
          <w:sz w:val="22"/>
          <w:szCs w:val="22"/>
        </w:rPr>
        <w:t xml:space="preserve">ensure that HUD </w:t>
      </w:r>
      <w:r w:rsidR="001B2E67" w:rsidRPr="005F6B4E">
        <w:rPr>
          <w:rFonts w:ascii="Palatino Linotype" w:hAnsi="Palatino Linotype"/>
          <w:spacing w:val="-10"/>
          <w:sz w:val="22"/>
          <w:szCs w:val="22"/>
        </w:rPr>
        <w:t xml:space="preserve">and Congress </w:t>
      </w:r>
      <w:r w:rsidR="00E115F1" w:rsidRPr="005F6B4E">
        <w:rPr>
          <w:rFonts w:ascii="Palatino Linotype" w:hAnsi="Palatino Linotype"/>
          <w:spacing w:val="-10"/>
          <w:sz w:val="22"/>
          <w:szCs w:val="22"/>
        </w:rPr>
        <w:t xml:space="preserve">recognize </w:t>
      </w:r>
      <w:r w:rsidR="00747260" w:rsidRPr="005F6B4E">
        <w:rPr>
          <w:rFonts w:ascii="Palatino Linotype" w:hAnsi="Palatino Linotype"/>
          <w:spacing w:val="-10"/>
          <w:sz w:val="22"/>
          <w:szCs w:val="22"/>
        </w:rPr>
        <w:t>HFAs’ proven</w:t>
      </w:r>
      <w:r w:rsidR="00747260">
        <w:rPr>
          <w:rFonts w:ascii="Palatino Linotype" w:hAnsi="Palatino Linotype"/>
          <w:spacing w:val="-10"/>
          <w:sz w:val="22"/>
          <w:szCs w:val="22"/>
        </w:rPr>
        <w:t xml:space="preserve"> capacity and track record to serve as PBCAs</w:t>
      </w:r>
      <w:r w:rsidR="00795108">
        <w:rPr>
          <w:rFonts w:ascii="Palatino Linotype" w:hAnsi="Palatino Linotype"/>
          <w:spacing w:val="-10"/>
          <w:sz w:val="22"/>
          <w:szCs w:val="22"/>
        </w:rPr>
        <w:t xml:space="preserve">.  </w:t>
      </w:r>
    </w:p>
    <w:p w:rsidR="00EC0117" w:rsidRPr="004D2DF0" w:rsidRDefault="00EC0117" w:rsidP="001358AB">
      <w:pPr>
        <w:tabs>
          <w:tab w:val="num" w:pos="720"/>
        </w:tabs>
        <w:ind w:left="720"/>
        <w:jc w:val="both"/>
        <w:rPr>
          <w:rFonts w:ascii="Palatino Linotype" w:hAnsi="Palatino Linotype"/>
          <w:spacing w:val="-10"/>
          <w:sz w:val="22"/>
          <w:szCs w:val="22"/>
        </w:rPr>
      </w:pPr>
    </w:p>
    <w:p w:rsidR="00C44EBF" w:rsidRPr="004D2DF0" w:rsidRDefault="00260E22" w:rsidP="001358AB">
      <w:pPr>
        <w:pStyle w:val="BodyText2"/>
        <w:numPr>
          <w:ilvl w:val="0"/>
          <w:numId w:val="3"/>
        </w:numPr>
        <w:rPr>
          <w:rFonts w:ascii="Palatino Linotype" w:hAnsi="Palatino Linotype"/>
          <w:b w:val="0"/>
          <w:bCs w:val="0"/>
          <w:spacing w:val="-10"/>
          <w:sz w:val="22"/>
          <w:szCs w:val="22"/>
        </w:rPr>
      </w:pPr>
      <w:r w:rsidRPr="004D2DF0">
        <w:rPr>
          <w:rFonts w:ascii="Palatino Linotype" w:hAnsi="Palatino Linotype"/>
          <w:b w:val="0"/>
          <w:spacing w:val="-10"/>
          <w:sz w:val="22"/>
          <w:szCs w:val="22"/>
        </w:rPr>
        <w:t xml:space="preserve">New state-administered funding for project-based operating subsidies to support </w:t>
      </w:r>
      <w:r w:rsidR="0089095C" w:rsidRPr="004D2DF0">
        <w:rPr>
          <w:rFonts w:ascii="Palatino Linotype" w:hAnsi="Palatino Linotype"/>
          <w:b w:val="0"/>
          <w:spacing w:val="-10"/>
          <w:sz w:val="22"/>
          <w:szCs w:val="22"/>
        </w:rPr>
        <w:t xml:space="preserve">affordable </w:t>
      </w:r>
      <w:r w:rsidRPr="004D2DF0">
        <w:rPr>
          <w:rFonts w:ascii="Palatino Linotype" w:hAnsi="Palatino Linotype"/>
          <w:b w:val="0"/>
          <w:spacing w:val="-10"/>
          <w:sz w:val="22"/>
          <w:szCs w:val="22"/>
        </w:rPr>
        <w:t xml:space="preserve">rental housing </w:t>
      </w:r>
      <w:r w:rsidR="00BB190A" w:rsidRPr="004D2DF0">
        <w:rPr>
          <w:rFonts w:ascii="Palatino Linotype" w:hAnsi="Palatino Linotype"/>
          <w:b w:val="0"/>
          <w:spacing w:val="-10"/>
          <w:sz w:val="22"/>
          <w:szCs w:val="22"/>
        </w:rPr>
        <w:t>development</w:t>
      </w:r>
      <w:r w:rsidR="0052712E" w:rsidRPr="004D2DF0">
        <w:rPr>
          <w:rFonts w:ascii="Palatino Linotype" w:hAnsi="Palatino Linotype"/>
          <w:b w:val="0"/>
          <w:spacing w:val="-10"/>
          <w:sz w:val="22"/>
          <w:szCs w:val="22"/>
        </w:rPr>
        <w:t xml:space="preserve"> and </w:t>
      </w:r>
      <w:r w:rsidR="00BB190A" w:rsidRPr="004D2DF0">
        <w:rPr>
          <w:rFonts w:ascii="Palatino Linotype" w:hAnsi="Palatino Linotype"/>
          <w:b w:val="0"/>
          <w:spacing w:val="-10"/>
          <w:sz w:val="22"/>
          <w:szCs w:val="22"/>
        </w:rPr>
        <w:t xml:space="preserve">preservation </w:t>
      </w:r>
      <w:r w:rsidRPr="004D2DF0">
        <w:rPr>
          <w:rFonts w:ascii="Palatino Linotype" w:hAnsi="Palatino Linotype"/>
          <w:b w:val="0"/>
          <w:spacing w:val="-10"/>
          <w:sz w:val="22"/>
          <w:szCs w:val="22"/>
        </w:rPr>
        <w:t>and tenant-ba</w:t>
      </w:r>
      <w:r w:rsidR="00783198" w:rsidRPr="004D2DF0">
        <w:rPr>
          <w:rFonts w:ascii="Palatino Linotype" w:hAnsi="Palatino Linotype"/>
          <w:b w:val="0"/>
          <w:spacing w:val="-10"/>
          <w:sz w:val="22"/>
          <w:szCs w:val="22"/>
        </w:rPr>
        <w:t>sed rental assistance to support</w:t>
      </w:r>
      <w:r w:rsidRPr="004D2DF0">
        <w:rPr>
          <w:rFonts w:ascii="Palatino Linotype" w:hAnsi="Palatino Linotype"/>
          <w:b w:val="0"/>
          <w:spacing w:val="-10"/>
          <w:sz w:val="22"/>
          <w:szCs w:val="22"/>
        </w:rPr>
        <w:t xml:space="preserve"> state-determined priorities unmet under the Housing Choice Voucher program</w:t>
      </w:r>
      <w:r w:rsidR="003E2B5B" w:rsidRPr="004D2DF0">
        <w:rPr>
          <w:rFonts w:ascii="Palatino Linotype" w:hAnsi="Palatino Linotype"/>
          <w:b w:val="0"/>
          <w:spacing w:val="-10"/>
          <w:sz w:val="22"/>
          <w:szCs w:val="22"/>
        </w:rPr>
        <w:t>, with maximum flexibility for program administrators and limited federal regulation</w:t>
      </w:r>
      <w:r w:rsidRPr="004D2DF0">
        <w:rPr>
          <w:rFonts w:ascii="Palatino Linotype" w:hAnsi="Palatino Linotype"/>
          <w:b w:val="0"/>
          <w:spacing w:val="-10"/>
          <w:sz w:val="22"/>
          <w:szCs w:val="22"/>
        </w:rPr>
        <w:t>.</w:t>
      </w:r>
    </w:p>
    <w:p w:rsidR="006C4549" w:rsidRPr="004D2DF0" w:rsidRDefault="006C4549" w:rsidP="001358AB">
      <w:pPr>
        <w:pStyle w:val="BodyText2"/>
        <w:tabs>
          <w:tab w:val="num" w:pos="720"/>
        </w:tabs>
        <w:ind w:left="720"/>
        <w:rPr>
          <w:rFonts w:ascii="Palatino Linotype" w:hAnsi="Palatino Linotype"/>
          <w:b w:val="0"/>
          <w:bCs w:val="0"/>
          <w:spacing w:val="-10"/>
          <w:sz w:val="22"/>
          <w:szCs w:val="22"/>
        </w:rPr>
      </w:pPr>
    </w:p>
    <w:p w:rsidR="006C4549" w:rsidRPr="004D2DF0" w:rsidRDefault="000C2E2A" w:rsidP="001358AB">
      <w:pPr>
        <w:numPr>
          <w:ilvl w:val="0"/>
          <w:numId w:val="1"/>
        </w:numPr>
        <w:jc w:val="both"/>
        <w:rPr>
          <w:rFonts w:ascii="Palatino Linotype" w:hAnsi="Palatino Linotype"/>
          <w:spacing w:val="-10"/>
          <w:sz w:val="22"/>
          <w:szCs w:val="22"/>
        </w:rPr>
      </w:pPr>
      <w:r w:rsidRPr="004D2DF0">
        <w:rPr>
          <w:rFonts w:ascii="Palatino Linotype" w:hAnsi="Palatino Linotype"/>
          <w:spacing w:val="-10"/>
          <w:sz w:val="22"/>
          <w:szCs w:val="22"/>
        </w:rPr>
        <w:t xml:space="preserve">Dedicated and sustainable </w:t>
      </w:r>
      <w:r w:rsidR="00C44EBF" w:rsidRPr="004D2DF0">
        <w:rPr>
          <w:rFonts w:ascii="Palatino Linotype" w:hAnsi="Palatino Linotype"/>
          <w:spacing w:val="-10"/>
          <w:sz w:val="22"/>
          <w:szCs w:val="22"/>
        </w:rPr>
        <w:t>funding for the state-administered Housing Trust Fund</w:t>
      </w:r>
      <w:r w:rsidR="003E2B5B" w:rsidRPr="004D2DF0">
        <w:rPr>
          <w:rFonts w:ascii="Palatino Linotype" w:hAnsi="Palatino Linotype"/>
          <w:spacing w:val="-10"/>
          <w:sz w:val="22"/>
          <w:szCs w:val="22"/>
        </w:rPr>
        <w:t xml:space="preserve">, with maximum flexibility for </w:t>
      </w:r>
      <w:r w:rsidR="00F21DBD">
        <w:rPr>
          <w:rFonts w:ascii="Palatino Linotype" w:hAnsi="Palatino Linotype"/>
          <w:spacing w:val="-10"/>
          <w:sz w:val="22"/>
          <w:szCs w:val="22"/>
        </w:rPr>
        <w:t xml:space="preserve">state </w:t>
      </w:r>
      <w:r w:rsidR="003E2B5B" w:rsidRPr="004D2DF0">
        <w:rPr>
          <w:rFonts w:ascii="Palatino Linotype" w:hAnsi="Palatino Linotype"/>
          <w:spacing w:val="-10"/>
          <w:sz w:val="22"/>
          <w:szCs w:val="22"/>
        </w:rPr>
        <w:t>program administrators and limited federal regulation</w:t>
      </w:r>
      <w:r w:rsidR="00C44EBF" w:rsidRPr="004D2DF0">
        <w:rPr>
          <w:rFonts w:ascii="Palatino Linotype" w:hAnsi="Palatino Linotype"/>
          <w:spacing w:val="-10"/>
          <w:sz w:val="22"/>
          <w:szCs w:val="22"/>
        </w:rPr>
        <w:t>.</w:t>
      </w:r>
    </w:p>
    <w:p w:rsidR="00B30F99" w:rsidRPr="004D2DF0" w:rsidRDefault="00B30F99" w:rsidP="001358AB">
      <w:pPr>
        <w:pStyle w:val="BodyText2"/>
        <w:tabs>
          <w:tab w:val="num" w:pos="720"/>
        </w:tabs>
        <w:ind w:left="720"/>
        <w:rPr>
          <w:rFonts w:ascii="Palatino Linotype" w:hAnsi="Palatino Linotype"/>
          <w:b w:val="0"/>
          <w:bCs w:val="0"/>
          <w:spacing w:val="-10"/>
          <w:sz w:val="22"/>
          <w:szCs w:val="22"/>
        </w:rPr>
      </w:pPr>
    </w:p>
    <w:p w:rsidR="00DA6178" w:rsidRPr="004D2DF0" w:rsidRDefault="003E2B5B" w:rsidP="001358AB">
      <w:pPr>
        <w:numPr>
          <w:ilvl w:val="0"/>
          <w:numId w:val="1"/>
        </w:numPr>
        <w:jc w:val="both"/>
        <w:rPr>
          <w:rFonts w:ascii="Palatino Linotype" w:hAnsi="Palatino Linotype"/>
          <w:spacing w:val="-10"/>
          <w:sz w:val="22"/>
          <w:szCs w:val="22"/>
        </w:rPr>
      </w:pPr>
      <w:r w:rsidRPr="004D2DF0">
        <w:rPr>
          <w:rFonts w:ascii="Palatino Linotype" w:hAnsi="Palatino Linotype"/>
          <w:spacing w:val="-10"/>
          <w:sz w:val="22"/>
          <w:szCs w:val="22"/>
        </w:rPr>
        <w:t>Expanded federal commitment to address the preservation of affordable rental housing in a comprehensive manner, including additional resources, c</w:t>
      </w:r>
      <w:r w:rsidR="00321481" w:rsidRPr="004D2DF0">
        <w:rPr>
          <w:rFonts w:ascii="Palatino Linotype" w:hAnsi="Palatino Linotype"/>
          <w:spacing w:val="-10"/>
          <w:sz w:val="22"/>
          <w:szCs w:val="22"/>
        </w:rPr>
        <w:t>hanges to existing housing programs</w:t>
      </w:r>
      <w:r w:rsidRPr="004D2DF0">
        <w:rPr>
          <w:rFonts w:ascii="Palatino Linotype" w:hAnsi="Palatino Linotype"/>
          <w:spacing w:val="-10"/>
          <w:sz w:val="22"/>
          <w:szCs w:val="22"/>
        </w:rPr>
        <w:t>,</w:t>
      </w:r>
      <w:r w:rsidR="00321481" w:rsidRPr="004D2DF0">
        <w:rPr>
          <w:rFonts w:ascii="Palatino Linotype" w:hAnsi="Palatino Linotype"/>
          <w:spacing w:val="-10"/>
          <w:sz w:val="22"/>
          <w:szCs w:val="22"/>
        </w:rPr>
        <w:t xml:space="preserve"> </w:t>
      </w:r>
      <w:r w:rsidR="00BC23E8" w:rsidRPr="004D2DF0">
        <w:rPr>
          <w:rFonts w:ascii="Palatino Linotype" w:hAnsi="Palatino Linotype"/>
          <w:spacing w:val="-10"/>
          <w:sz w:val="22"/>
          <w:szCs w:val="22"/>
        </w:rPr>
        <w:t>and</w:t>
      </w:r>
      <w:r w:rsidR="00321481" w:rsidRPr="004D2DF0">
        <w:rPr>
          <w:rFonts w:ascii="Palatino Linotype" w:hAnsi="Palatino Linotype"/>
          <w:spacing w:val="-10"/>
          <w:sz w:val="22"/>
          <w:szCs w:val="22"/>
        </w:rPr>
        <w:t xml:space="preserve"> the creation of new ones to</w:t>
      </w:r>
      <w:r w:rsidRPr="004D2DF0">
        <w:rPr>
          <w:rFonts w:ascii="Palatino Linotype" w:hAnsi="Palatino Linotype"/>
          <w:spacing w:val="-10"/>
          <w:sz w:val="22"/>
          <w:szCs w:val="22"/>
        </w:rPr>
        <w:t xml:space="preserve"> support state and federal preservation efforts</w:t>
      </w:r>
      <w:r w:rsidR="0042067C">
        <w:rPr>
          <w:rFonts w:ascii="Palatino Linotype" w:hAnsi="Palatino Linotype"/>
          <w:spacing w:val="-10"/>
          <w:sz w:val="22"/>
          <w:szCs w:val="22"/>
        </w:rPr>
        <w:t>, so as not to dilute resources needed for the production of new affordable housing</w:t>
      </w:r>
      <w:r w:rsidRPr="004D2DF0">
        <w:rPr>
          <w:rFonts w:ascii="Palatino Linotype" w:hAnsi="Palatino Linotype"/>
          <w:spacing w:val="-10"/>
          <w:sz w:val="22"/>
          <w:szCs w:val="22"/>
        </w:rPr>
        <w:t xml:space="preserve">.  </w:t>
      </w:r>
    </w:p>
    <w:p w:rsidR="00450C28" w:rsidRDefault="00450C28" w:rsidP="001358AB">
      <w:pPr>
        <w:tabs>
          <w:tab w:val="num" w:pos="720"/>
        </w:tabs>
        <w:ind w:left="720"/>
        <w:jc w:val="both"/>
        <w:rPr>
          <w:rFonts w:ascii="Palatino Linotype" w:hAnsi="Palatino Linotype"/>
          <w:spacing w:val="-10"/>
          <w:sz w:val="22"/>
          <w:szCs w:val="22"/>
        </w:rPr>
      </w:pPr>
    </w:p>
    <w:p w:rsidR="00335874" w:rsidRDefault="00B15DEB" w:rsidP="001358AB">
      <w:pPr>
        <w:pStyle w:val="ListParagraph"/>
        <w:numPr>
          <w:ilvl w:val="0"/>
          <w:numId w:val="1"/>
        </w:numPr>
        <w:jc w:val="both"/>
        <w:rPr>
          <w:rFonts w:ascii="Palatino Linotype" w:hAnsi="Palatino Linotype"/>
          <w:spacing w:val="-10"/>
          <w:sz w:val="22"/>
          <w:szCs w:val="22"/>
        </w:rPr>
      </w:pPr>
      <w:r w:rsidRPr="004A6E05">
        <w:rPr>
          <w:rFonts w:ascii="Palatino Linotype" w:hAnsi="Palatino Linotype"/>
          <w:spacing w:val="-10"/>
          <w:sz w:val="22"/>
          <w:szCs w:val="22"/>
        </w:rPr>
        <w:lastRenderedPageBreak/>
        <w:t>To p</w:t>
      </w:r>
      <w:r w:rsidR="006A39F7" w:rsidRPr="004A6E05">
        <w:rPr>
          <w:rFonts w:ascii="Palatino Linotype" w:hAnsi="Palatino Linotype"/>
          <w:spacing w:val="-10"/>
          <w:sz w:val="22"/>
          <w:szCs w:val="22"/>
        </w:rPr>
        <w:t>reserve and expand HFAs’ authority to provide secondary financing and other forms of down payment and closing cost assistance in transactions involving FHA single-family mortgage insurance</w:t>
      </w:r>
      <w:r w:rsidR="00851A80" w:rsidRPr="006B6CCE">
        <w:rPr>
          <w:rFonts w:ascii="Palatino Linotype" w:hAnsi="Palatino Linotype"/>
          <w:spacing w:val="-10"/>
          <w:sz w:val="22"/>
          <w:szCs w:val="22"/>
        </w:rPr>
        <w:t>.</w:t>
      </w:r>
    </w:p>
    <w:p w:rsidR="0042067C" w:rsidRPr="0046171C" w:rsidRDefault="0042067C" w:rsidP="001358AB">
      <w:pPr>
        <w:tabs>
          <w:tab w:val="num" w:pos="720"/>
        </w:tabs>
        <w:jc w:val="both"/>
        <w:rPr>
          <w:rFonts w:ascii="Palatino Linotype" w:hAnsi="Palatino Linotype"/>
          <w:spacing w:val="-10"/>
          <w:sz w:val="22"/>
          <w:szCs w:val="22"/>
        </w:rPr>
      </w:pPr>
    </w:p>
    <w:p w:rsidR="0028707D" w:rsidRPr="008D164B" w:rsidRDefault="0028707D" w:rsidP="001358AB">
      <w:pPr>
        <w:pStyle w:val="ListParagraph"/>
        <w:numPr>
          <w:ilvl w:val="0"/>
          <w:numId w:val="1"/>
        </w:numPr>
        <w:tabs>
          <w:tab w:val="num" w:pos="810"/>
        </w:tabs>
        <w:ind w:left="810"/>
        <w:jc w:val="both"/>
        <w:rPr>
          <w:rFonts w:ascii="Palatino Linotype" w:hAnsi="Palatino Linotype"/>
          <w:spacing w:val="-10"/>
          <w:sz w:val="22"/>
          <w:szCs w:val="22"/>
        </w:rPr>
      </w:pPr>
      <w:r w:rsidRPr="008D164B">
        <w:rPr>
          <w:rFonts w:ascii="Palatino Linotype" w:hAnsi="Palatino Linotype"/>
          <w:spacing w:val="-10"/>
          <w:sz w:val="22"/>
          <w:szCs w:val="22"/>
        </w:rPr>
        <w:t>To eliminate the face-to-face meeting requirement HUD currently imposes on FHA loan servicers.</w:t>
      </w:r>
    </w:p>
    <w:p w:rsidR="0028707D" w:rsidRPr="0028707D" w:rsidRDefault="0028707D" w:rsidP="0028707D">
      <w:pPr>
        <w:pStyle w:val="ListParagraph"/>
        <w:rPr>
          <w:rFonts w:ascii="Palatino Linotype" w:hAnsi="Palatino Linotype"/>
          <w:spacing w:val="-10"/>
          <w:sz w:val="22"/>
          <w:szCs w:val="22"/>
        </w:rPr>
      </w:pPr>
    </w:p>
    <w:p w:rsidR="0042067C" w:rsidRPr="0042067C" w:rsidRDefault="0042067C" w:rsidP="001358AB">
      <w:pPr>
        <w:pStyle w:val="ListParagraph"/>
        <w:numPr>
          <w:ilvl w:val="0"/>
          <w:numId w:val="1"/>
        </w:numPr>
        <w:tabs>
          <w:tab w:val="num" w:pos="810"/>
        </w:tabs>
        <w:ind w:left="810"/>
        <w:jc w:val="both"/>
        <w:rPr>
          <w:rFonts w:ascii="Palatino Linotype" w:hAnsi="Palatino Linotype"/>
          <w:spacing w:val="-10"/>
          <w:sz w:val="22"/>
          <w:szCs w:val="22"/>
        </w:rPr>
      </w:pPr>
      <w:r>
        <w:rPr>
          <w:rFonts w:ascii="Palatino Linotype" w:hAnsi="Palatino Linotype"/>
          <w:spacing w:val="-10"/>
          <w:sz w:val="22"/>
          <w:szCs w:val="22"/>
        </w:rPr>
        <w:t>To secure authority for</w:t>
      </w:r>
      <w:r w:rsidRPr="006B6CCE">
        <w:rPr>
          <w:rFonts w:ascii="Palatino Linotype" w:hAnsi="Palatino Linotype"/>
          <w:spacing w:val="-10"/>
          <w:sz w:val="22"/>
          <w:szCs w:val="22"/>
        </w:rPr>
        <w:t xml:space="preserve"> Ginnie Mae to securitize </w:t>
      </w:r>
      <w:r>
        <w:rPr>
          <w:rFonts w:ascii="Palatino Linotype" w:hAnsi="Palatino Linotype"/>
          <w:spacing w:val="-10"/>
          <w:sz w:val="22"/>
          <w:szCs w:val="22"/>
        </w:rPr>
        <w:t xml:space="preserve">multifamily </w:t>
      </w:r>
      <w:r w:rsidRPr="006B6CCE">
        <w:rPr>
          <w:rFonts w:ascii="Palatino Linotype" w:hAnsi="Palatino Linotype"/>
          <w:spacing w:val="-10"/>
          <w:sz w:val="22"/>
          <w:szCs w:val="22"/>
        </w:rPr>
        <w:t>FHA-HFA risk-sharing loans.</w:t>
      </w:r>
    </w:p>
    <w:p w:rsidR="00335874" w:rsidRPr="004A6E05" w:rsidRDefault="00335874" w:rsidP="001358AB">
      <w:pPr>
        <w:pStyle w:val="ListParagraph"/>
        <w:tabs>
          <w:tab w:val="num" w:pos="720"/>
        </w:tabs>
        <w:jc w:val="both"/>
        <w:rPr>
          <w:rFonts w:ascii="Palatino Linotype" w:hAnsi="Palatino Linotype"/>
          <w:spacing w:val="-10"/>
          <w:sz w:val="22"/>
          <w:szCs w:val="22"/>
        </w:rPr>
      </w:pPr>
    </w:p>
    <w:p w:rsidR="001358AB" w:rsidRDefault="00335874" w:rsidP="001358AB">
      <w:pPr>
        <w:pStyle w:val="ListParagraph"/>
        <w:numPr>
          <w:ilvl w:val="0"/>
          <w:numId w:val="1"/>
        </w:numPr>
        <w:spacing w:line="234" w:lineRule="auto"/>
        <w:jc w:val="both"/>
        <w:rPr>
          <w:rFonts w:ascii="Palatino Linotype" w:hAnsi="Palatino Linotype"/>
          <w:spacing w:val="-10"/>
          <w:sz w:val="22"/>
          <w:szCs w:val="22"/>
        </w:rPr>
      </w:pPr>
      <w:r w:rsidRPr="00BF0ED8">
        <w:rPr>
          <w:rFonts w:ascii="Palatino Linotype" w:hAnsi="Palatino Linotype"/>
          <w:spacing w:val="-10"/>
          <w:sz w:val="22"/>
          <w:szCs w:val="22"/>
        </w:rPr>
        <w:t>To advance HFA interests in federal agency implementation of the Dodd-Frank financial reform legislation, including its Qualified Mortgage, Qualified Residential Mortgage, and ability-to-repay regulations.</w:t>
      </w:r>
      <w:r w:rsidR="000137F8" w:rsidRPr="00BF0ED8">
        <w:rPr>
          <w:rFonts w:ascii="Palatino Linotype" w:hAnsi="Palatino Linotype"/>
          <w:spacing w:val="-10"/>
          <w:sz w:val="22"/>
          <w:szCs w:val="22"/>
        </w:rPr>
        <w:t xml:space="preserve">  </w:t>
      </w:r>
      <w:r w:rsidR="00B117F3">
        <w:rPr>
          <w:rFonts w:ascii="Palatino Linotype" w:hAnsi="Palatino Linotype"/>
          <w:spacing w:val="-10"/>
          <w:sz w:val="22"/>
          <w:szCs w:val="22"/>
        </w:rPr>
        <w:t xml:space="preserve">NCSHA should also seek </w:t>
      </w:r>
      <w:r w:rsidR="00BF0ED8" w:rsidRPr="00BF0ED8">
        <w:rPr>
          <w:rFonts w:ascii="Palatino Linotype" w:hAnsi="Palatino Linotype"/>
          <w:spacing w:val="-10"/>
          <w:sz w:val="22"/>
          <w:szCs w:val="22"/>
        </w:rPr>
        <w:t xml:space="preserve">opportunities to minimize the administrative burden on HFAs of </w:t>
      </w:r>
      <w:r w:rsidR="00B117F3">
        <w:rPr>
          <w:rFonts w:ascii="Palatino Linotype" w:hAnsi="Palatino Linotype"/>
          <w:spacing w:val="-10"/>
          <w:sz w:val="22"/>
          <w:szCs w:val="22"/>
        </w:rPr>
        <w:t xml:space="preserve">these and other </w:t>
      </w:r>
      <w:r w:rsidR="00BF0ED8" w:rsidRPr="00BF0ED8">
        <w:rPr>
          <w:rFonts w:ascii="Palatino Linotype" w:hAnsi="Palatino Linotype"/>
          <w:spacing w:val="-10"/>
          <w:sz w:val="22"/>
          <w:szCs w:val="22"/>
        </w:rPr>
        <w:t>federal single-family</w:t>
      </w:r>
      <w:r w:rsidR="00BF0ED8">
        <w:rPr>
          <w:rFonts w:ascii="Palatino Linotype" w:hAnsi="Palatino Linotype"/>
          <w:spacing w:val="-10"/>
          <w:sz w:val="22"/>
          <w:szCs w:val="22"/>
        </w:rPr>
        <w:t xml:space="preserve"> </w:t>
      </w:r>
      <w:r w:rsidR="00BF0ED8" w:rsidRPr="00BF0ED8">
        <w:rPr>
          <w:rFonts w:ascii="Palatino Linotype" w:hAnsi="Palatino Linotype"/>
          <w:spacing w:val="-10"/>
          <w:sz w:val="22"/>
          <w:szCs w:val="22"/>
        </w:rPr>
        <w:t>lending rules and regulations.</w:t>
      </w:r>
    </w:p>
    <w:p w:rsidR="001358AB" w:rsidRPr="001358AB" w:rsidRDefault="001358AB" w:rsidP="001358AB">
      <w:pPr>
        <w:pStyle w:val="ListParagraph"/>
        <w:rPr>
          <w:rFonts w:ascii="Palatino Linotype" w:hAnsi="Palatino Linotype"/>
          <w:spacing w:val="-10"/>
          <w:sz w:val="22"/>
          <w:szCs w:val="22"/>
        </w:rPr>
      </w:pPr>
    </w:p>
    <w:p w:rsidR="001358AB" w:rsidRPr="00F26E0D" w:rsidRDefault="003F70DE" w:rsidP="001358AB">
      <w:pPr>
        <w:pStyle w:val="ListParagraph"/>
        <w:numPr>
          <w:ilvl w:val="0"/>
          <w:numId w:val="1"/>
        </w:numPr>
        <w:spacing w:line="234" w:lineRule="auto"/>
        <w:jc w:val="both"/>
        <w:rPr>
          <w:rFonts w:ascii="Palatino Linotype" w:hAnsi="Palatino Linotype"/>
          <w:spacing w:val="-10"/>
          <w:sz w:val="22"/>
          <w:szCs w:val="22"/>
        </w:rPr>
      </w:pPr>
      <w:r w:rsidRPr="001358AB">
        <w:rPr>
          <w:rFonts w:ascii="Palatino Linotype" w:hAnsi="Palatino Linotype"/>
          <w:spacing w:val="-10"/>
          <w:sz w:val="22"/>
          <w:szCs w:val="22"/>
        </w:rPr>
        <w:t xml:space="preserve">To </w:t>
      </w:r>
      <w:r w:rsidR="00593F54" w:rsidRPr="001358AB">
        <w:rPr>
          <w:rFonts w:ascii="Palatino Linotype" w:hAnsi="Palatino Linotype"/>
          <w:spacing w:val="-10"/>
          <w:sz w:val="22"/>
          <w:szCs w:val="22"/>
        </w:rPr>
        <w:t xml:space="preserve">facilitate more efficient coordination of USDA rural housing programs with the Housing Credit and other HFA-administered programs and </w:t>
      </w:r>
      <w:r w:rsidRPr="001358AB">
        <w:rPr>
          <w:rFonts w:ascii="Palatino Linotype" w:hAnsi="Palatino Linotype"/>
          <w:spacing w:val="-10"/>
          <w:sz w:val="22"/>
          <w:szCs w:val="22"/>
        </w:rPr>
        <w:t>e</w:t>
      </w:r>
      <w:r w:rsidRPr="001358AB">
        <w:rPr>
          <w:rFonts w:ascii="Palatino Linotype" w:hAnsi="Palatino Linotype" w:cs="Calibri"/>
          <w:spacing w:val="-10"/>
          <w:sz w:val="22"/>
          <w:szCs w:val="22"/>
        </w:rPr>
        <w:t>nsure that USDA does not administratively remove existing Section 521 Rental Assistance units from the program or cancel Section 521 Rental Assistance contracts from assisted properties that USDA removes from the program.</w:t>
      </w:r>
      <w:r w:rsidR="00F14592" w:rsidRPr="001358AB">
        <w:rPr>
          <w:rFonts w:ascii="Palatino Linotype" w:hAnsi="Palatino Linotype" w:cs="Calibri"/>
          <w:spacing w:val="-10"/>
          <w:sz w:val="22"/>
          <w:szCs w:val="22"/>
        </w:rPr>
        <w:t xml:space="preserve"> </w:t>
      </w:r>
    </w:p>
    <w:p w:rsidR="00F26E0D" w:rsidRPr="00F26E0D" w:rsidRDefault="00F26E0D" w:rsidP="00F26E0D">
      <w:pPr>
        <w:pStyle w:val="ListParagraph"/>
        <w:rPr>
          <w:rFonts w:ascii="Palatino Linotype" w:hAnsi="Palatino Linotype"/>
          <w:spacing w:val="-10"/>
          <w:sz w:val="22"/>
          <w:szCs w:val="22"/>
        </w:rPr>
      </w:pPr>
    </w:p>
    <w:p w:rsidR="00F26E0D" w:rsidRPr="00F26E0D" w:rsidRDefault="00F26E0D" w:rsidP="00F26E0D">
      <w:pPr>
        <w:pStyle w:val="ListParagraph"/>
        <w:spacing w:line="234" w:lineRule="auto"/>
        <w:jc w:val="both"/>
        <w:rPr>
          <w:rFonts w:ascii="Palatino Linotype" w:hAnsi="Palatino Linotype"/>
          <w:spacing w:val="-10"/>
          <w:sz w:val="22"/>
          <w:szCs w:val="22"/>
        </w:rPr>
      </w:pPr>
    </w:p>
    <w:p w:rsidR="00F26E0D" w:rsidRPr="00F26E0D" w:rsidRDefault="00F26E0D" w:rsidP="00F26E0D">
      <w:pPr>
        <w:pStyle w:val="ListParagraph"/>
        <w:rPr>
          <w:rFonts w:ascii="Palatino Linotype" w:hAnsi="Palatino Linotype"/>
          <w:spacing w:val="-10"/>
          <w:sz w:val="22"/>
          <w:szCs w:val="22"/>
        </w:rPr>
      </w:pPr>
    </w:p>
    <w:p w:rsidR="00F26E0D" w:rsidRPr="001358AB" w:rsidRDefault="00F26E0D" w:rsidP="00F26E0D">
      <w:pPr>
        <w:pStyle w:val="ListParagraph"/>
        <w:spacing w:line="234" w:lineRule="auto"/>
        <w:jc w:val="both"/>
        <w:rPr>
          <w:rFonts w:ascii="Palatino Linotype" w:hAnsi="Palatino Linotype"/>
          <w:spacing w:val="-10"/>
          <w:sz w:val="22"/>
          <w:szCs w:val="22"/>
        </w:rPr>
      </w:pPr>
    </w:p>
    <w:p w:rsidR="0086788C" w:rsidRDefault="0086788C">
      <w:pPr>
        <w:rPr>
          <w:rFonts w:ascii="Palatino Linotype" w:hAnsi="Palatino Linotype" w:cs="Calibri"/>
          <w:spacing w:val="-10"/>
          <w:sz w:val="22"/>
          <w:szCs w:val="22"/>
        </w:rPr>
      </w:pPr>
      <w:r>
        <w:rPr>
          <w:rFonts w:ascii="Palatino Linotype" w:hAnsi="Palatino Linotype" w:cs="Calibri"/>
          <w:spacing w:val="-10"/>
          <w:sz w:val="22"/>
          <w:szCs w:val="22"/>
        </w:rPr>
        <w:br w:type="page"/>
      </w:r>
    </w:p>
    <w:p w:rsidR="00450C28" w:rsidRPr="006A39F7" w:rsidRDefault="004D2DF0" w:rsidP="00F14592">
      <w:pPr>
        <w:pStyle w:val="ListParagraph"/>
        <w:ind w:left="0"/>
        <w:jc w:val="center"/>
        <w:rPr>
          <w:rFonts w:ascii="Palatino Linotype" w:hAnsi="Palatino Linotype"/>
          <w:b/>
          <w:spacing w:val="-10"/>
          <w:sz w:val="22"/>
          <w:szCs w:val="22"/>
        </w:rPr>
      </w:pPr>
      <w:r w:rsidRPr="006A39F7">
        <w:rPr>
          <w:rFonts w:ascii="Palatino Linotype" w:hAnsi="Palatino Linotype"/>
          <w:b/>
          <w:spacing w:val="-10"/>
          <w:sz w:val="22"/>
          <w:szCs w:val="22"/>
        </w:rPr>
        <w:lastRenderedPageBreak/>
        <w:t xml:space="preserve">Appendix:  </w:t>
      </w:r>
      <w:r w:rsidR="00450C28" w:rsidRPr="006A39F7">
        <w:rPr>
          <w:rFonts w:ascii="Palatino Linotype" w:hAnsi="Palatino Linotype"/>
          <w:b/>
          <w:spacing w:val="-10"/>
          <w:sz w:val="22"/>
          <w:szCs w:val="22"/>
        </w:rPr>
        <w:t>NCSHA’s Housing Bond and Credit Priorities</w:t>
      </w:r>
    </w:p>
    <w:p w:rsidR="00450C28" w:rsidRPr="004D2DF0" w:rsidRDefault="00450C28" w:rsidP="004D2DF0">
      <w:pPr>
        <w:rPr>
          <w:rFonts w:ascii="Palatino Linotype" w:hAnsi="Palatino Linotype"/>
          <w:spacing w:val="-10"/>
          <w:sz w:val="22"/>
          <w:szCs w:val="22"/>
        </w:rPr>
      </w:pPr>
    </w:p>
    <w:p w:rsidR="00B81CEF" w:rsidRPr="004D2DF0" w:rsidRDefault="00F5010E" w:rsidP="00747260">
      <w:pPr>
        <w:numPr>
          <w:ilvl w:val="0"/>
          <w:numId w:val="8"/>
        </w:numPr>
        <w:ind w:left="360"/>
        <w:contextualSpacing/>
        <w:jc w:val="both"/>
        <w:rPr>
          <w:rFonts w:ascii="Palatino Linotype" w:hAnsi="Palatino Linotype"/>
          <w:spacing w:val="-10"/>
          <w:sz w:val="22"/>
          <w:szCs w:val="22"/>
        </w:rPr>
      </w:pPr>
      <w:r>
        <w:rPr>
          <w:rFonts w:ascii="Palatino Linotype" w:hAnsi="Palatino Linotype"/>
          <w:spacing w:val="-10"/>
          <w:sz w:val="22"/>
          <w:szCs w:val="22"/>
        </w:rPr>
        <w:t xml:space="preserve">Achieve </w:t>
      </w:r>
      <w:r w:rsidR="00B81CEF" w:rsidRPr="004D2DF0">
        <w:rPr>
          <w:rFonts w:ascii="Palatino Linotype" w:hAnsi="Palatino Linotype"/>
          <w:spacing w:val="-10"/>
          <w:sz w:val="22"/>
          <w:szCs w:val="22"/>
        </w:rPr>
        <w:t>permanent</w:t>
      </w:r>
      <w:r w:rsidR="002831A0">
        <w:rPr>
          <w:rFonts w:ascii="Palatino Linotype" w:hAnsi="Palatino Linotype"/>
          <w:spacing w:val="-10"/>
          <w:sz w:val="22"/>
          <w:szCs w:val="22"/>
        </w:rPr>
        <w:t xml:space="preserve"> minimum Housing Credit rates for the</w:t>
      </w:r>
      <w:r w:rsidR="00B81CEF" w:rsidRPr="004D2DF0">
        <w:rPr>
          <w:rFonts w:ascii="Palatino Linotype" w:hAnsi="Palatino Linotype"/>
          <w:spacing w:val="-10"/>
          <w:sz w:val="22"/>
          <w:szCs w:val="22"/>
        </w:rPr>
        <w:t xml:space="preserve"> 9 percent </w:t>
      </w:r>
      <w:r>
        <w:rPr>
          <w:rFonts w:ascii="Palatino Linotype" w:hAnsi="Palatino Linotype"/>
          <w:spacing w:val="-10"/>
          <w:sz w:val="22"/>
          <w:szCs w:val="22"/>
        </w:rPr>
        <w:t xml:space="preserve">and 4 percent </w:t>
      </w:r>
      <w:r w:rsidR="002F5F66">
        <w:rPr>
          <w:rFonts w:ascii="Palatino Linotype" w:hAnsi="Palatino Linotype"/>
          <w:spacing w:val="-10"/>
          <w:sz w:val="22"/>
          <w:szCs w:val="22"/>
        </w:rPr>
        <w:t xml:space="preserve">Credit </w:t>
      </w:r>
      <w:r w:rsidR="002831A0">
        <w:rPr>
          <w:rFonts w:ascii="Palatino Linotype" w:hAnsi="Palatino Linotype"/>
          <w:spacing w:val="-10"/>
          <w:sz w:val="22"/>
          <w:szCs w:val="22"/>
        </w:rPr>
        <w:t xml:space="preserve">programs.  </w:t>
      </w:r>
    </w:p>
    <w:p w:rsidR="00B81CEF" w:rsidRPr="004D2DF0" w:rsidRDefault="00B81CEF" w:rsidP="00747260">
      <w:pPr>
        <w:ind w:left="360"/>
        <w:contextualSpacing/>
        <w:jc w:val="both"/>
        <w:rPr>
          <w:rFonts w:ascii="Palatino Linotype" w:hAnsi="Palatino Linotype"/>
          <w:spacing w:val="-10"/>
          <w:sz w:val="22"/>
          <w:szCs w:val="22"/>
        </w:rPr>
      </w:pPr>
    </w:p>
    <w:p w:rsidR="00B81CEF" w:rsidRPr="004D2DF0" w:rsidRDefault="00B81CEF" w:rsidP="00747260">
      <w:pPr>
        <w:pStyle w:val="ListParagraph"/>
        <w:numPr>
          <w:ilvl w:val="0"/>
          <w:numId w:val="6"/>
        </w:numPr>
        <w:ind w:left="360"/>
        <w:contextualSpacing/>
        <w:jc w:val="both"/>
        <w:rPr>
          <w:rFonts w:ascii="Palatino Linotype" w:hAnsi="Palatino Linotype"/>
          <w:spacing w:val="-10"/>
          <w:sz w:val="22"/>
          <w:szCs w:val="22"/>
        </w:rPr>
      </w:pPr>
      <w:r w:rsidRPr="004D2DF0">
        <w:rPr>
          <w:rFonts w:ascii="Palatino Linotype" w:hAnsi="Palatino Linotype"/>
          <w:spacing w:val="-10"/>
          <w:sz w:val="22"/>
          <w:szCs w:val="22"/>
        </w:rPr>
        <w:t>Establish a state-determined basis boost for 4 percent Credits. </w:t>
      </w:r>
    </w:p>
    <w:p w:rsidR="00B81CEF" w:rsidRPr="004D2DF0" w:rsidRDefault="00B81CEF" w:rsidP="00747260">
      <w:pPr>
        <w:pStyle w:val="ListParagraph"/>
        <w:ind w:left="360"/>
        <w:contextualSpacing/>
        <w:jc w:val="both"/>
        <w:rPr>
          <w:rFonts w:ascii="Palatino Linotype" w:hAnsi="Palatino Linotype"/>
          <w:spacing w:val="-10"/>
          <w:sz w:val="22"/>
          <w:szCs w:val="22"/>
        </w:rPr>
      </w:pPr>
    </w:p>
    <w:p w:rsidR="00B81CEF" w:rsidRPr="004D2DF0" w:rsidRDefault="002F5F66" w:rsidP="00747260">
      <w:pPr>
        <w:pStyle w:val="ListParagraph"/>
        <w:numPr>
          <w:ilvl w:val="0"/>
          <w:numId w:val="6"/>
        </w:numPr>
        <w:ind w:left="360"/>
        <w:contextualSpacing/>
        <w:jc w:val="both"/>
        <w:rPr>
          <w:rFonts w:ascii="Palatino Linotype" w:hAnsi="Palatino Linotype"/>
          <w:spacing w:val="-10"/>
          <w:sz w:val="22"/>
          <w:szCs w:val="22"/>
        </w:rPr>
      </w:pPr>
      <w:r>
        <w:rPr>
          <w:rFonts w:ascii="Palatino Linotype" w:hAnsi="Palatino Linotype"/>
          <w:spacing w:val="-10"/>
          <w:sz w:val="22"/>
          <w:szCs w:val="22"/>
        </w:rPr>
        <w:t>Amend the Housing Credit program tenant income limits to i</w:t>
      </w:r>
      <w:r w:rsidR="00B81CEF" w:rsidRPr="004D2DF0">
        <w:rPr>
          <w:rFonts w:ascii="Palatino Linotype" w:hAnsi="Palatino Linotype"/>
          <w:spacing w:val="-10"/>
          <w:sz w:val="22"/>
          <w:szCs w:val="22"/>
        </w:rPr>
        <w:t>ncrease access to Housing Credit apartments for working</w:t>
      </w:r>
      <w:r>
        <w:rPr>
          <w:rFonts w:ascii="Palatino Linotype" w:hAnsi="Palatino Linotype"/>
          <w:spacing w:val="-10"/>
          <w:sz w:val="22"/>
          <w:szCs w:val="22"/>
        </w:rPr>
        <w:t xml:space="preserve"> low-income</w:t>
      </w:r>
      <w:r w:rsidR="00B81CEF" w:rsidRPr="004D2DF0">
        <w:rPr>
          <w:rFonts w:ascii="Palatino Linotype" w:hAnsi="Palatino Linotype"/>
          <w:spacing w:val="-10"/>
          <w:sz w:val="22"/>
          <w:szCs w:val="22"/>
        </w:rPr>
        <w:t xml:space="preserve"> families</w:t>
      </w:r>
      <w:r>
        <w:rPr>
          <w:rFonts w:ascii="Palatino Linotype" w:hAnsi="Palatino Linotype"/>
          <w:spacing w:val="-10"/>
          <w:sz w:val="22"/>
          <w:szCs w:val="22"/>
        </w:rPr>
        <w:t xml:space="preserve"> (e.g., up to 80 percent of area median income)</w:t>
      </w:r>
      <w:r w:rsidR="00B81CEF" w:rsidRPr="004D2DF0">
        <w:rPr>
          <w:rFonts w:ascii="Palatino Linotype" w:hAnsi="Palatino Linotype"/>
          <w:spacing w:val="-10"/>
          <w:sz w:val="22"/>
          <w:szCs w:val="22"/>
        </w:rPr>
        <w:t xml:space="preserve"> that cannot afford decent, reasonably priced rental homes and for extremely low-income families </w:t>
      </w:r>
      <w:r>
        <w:rPr>
          <w:rFonts w:ascii="Palatino Linotype" w:hAnsi="Palatino Linotype"/>
          <w:spacing w:val="-10"/>
          <w:sz w:val="22"/>
          <w:szCs w:val="22"/>
        </w:rPr>
        <w:t xml:space="preserve">(e.g., 30 percent </w:t>
      </w:r>
      <w:r w:rsidR="002809BF">
        <w:rPr>
          <w:rFonts w:ascii="Palatino Linotype" w:hAnsi="Palatino Linotype"/>
          <w:spacing w:val="-10"/>
          <w:sz w:val="22"/>
          <w:szCs w:val="22"/>
        </w:rPr>
        <w:t xml:space="preserve">or less </w:t>
      </w:r>
      <w:r>
        <w:rPr>
          <w:rFonts w:ascii="Palatino Linotype" w:hAnsi="Palatino Linotype"/>
          <w:spacing w:val="-10"/>
          <w:sz w:val="22"/>
          <w:szCs w:val="22"/>
        </w:rPr>
        <w:t xml:space="preserve">of area median income) </w:t>
      </w:r>
      <w:r w:rsidR="00B81CEF" w:rsidRPr="004D2DF0">
        <w:rPr>
          <w:rFonts w:ascii="Palatino Linotype" w:hAnsi="Palatino Linotype"/>
          <w:spacing w:val="-10"/>
          <w:sz w:val="22"/>
          <w:szCs w:val="22"/>
        </w:rPr>
        <w:t>that cannot afford most Housing Credit apartments without assistance.</w:t>
      </w:r>
      <w:r w:rsidR="00B81CEF" w:rsidRPr="004D2DF0">
        <w:rPr>
          <w:rFonts w:ascii="Palatino Linotype" w:hAnsi="Palatino Linotype"/>
          <w:bCs/>
          <w:spacing w:val="-10"/>
          <w:sz w:val="22"/>
          <w:szCs w:val="22"/>
        </w:rPr>
        <w:t xml:space="preserve"> </w:t>
      </w:r>
    </w:p>
    <w:p w:rsidR="00B81CEF" w:rsidRPr="004D2DF0" w:rsidRDefault="00B81CEF" w:rsidP="00747260">
      <w:pPr>
        <w:ind w:left="360"/>
        <w:contextualSpacing/>
        <w:jc w:val="both"/>
        <w:rPr>
          <w:rFonts w:ascii="Palatino Linotype" w:hAnsi="Palatino Linotype"/>
          <w:spacing w:val="-10"/>
          <w:sz w:val="22"/>
          <w:szCs w:val="22"/>
        </w:rPr>
      </w:pPr>
    </w:p>
    <w:p w:rsidR="00B81CEF" w:rsidRPr="004D2DF0" w:rsidRDefault="00D20264" w:rsidP="00747260">
      <w:pPr>
        <w:numPr>
          <w:ilvl w:val="0"/>
          <w:numId w:val="8"/>
        </w:numPr>
        <w:ind w:left="360"/>
        <w:contextualSpacing/>
        <w:jc w:val="both"/>
        <w:rPr>
          <w:rFonts w:ascii="Palatino Linotype" w:hAnsi="Palatino Linotype"/>
          <w:spacing w:val="-10"/>
          <w:sz w:val="22"/>
          <w:szCs w:val="22"/>
        </w:rPr>
      </w:pPr>
      <w:r>
        <w:rPr>
          <w:rFonts w:ascii="Palatino Linotype" w:hAnsi="Palatino Linotype"/>
          <w:spacing w:val="-10"/>
          <w:sz w:val="22"/>
          <w:szCs w:val="22"/>
        </w:rPr>
        <w:t xml:space="preserve">Base income limits for rural Housing Credit developments on the greater of area median gross income and the national nonmetropolitan median income, consistent with the current treatment of income limits for urban and suburban Housing Credit developments located in federally designated Metropolitan Statistical Areas (MSAs).  </w:t>
      </w:r>
    </w:p>
    <w:p w:rsidR="00B81CEF" w:rsidRPr="004D2DF0" w:rsidRDefault="00B81CEF" w:rsidP="00747260">
      <w:pPr>
        <w:ind w:left="360"/>
        <w:contextualSpacing/>
        <w:jc w:val="both"/>
        <w:rPr>
          <w:rFonts w:ascii="Palatino Linotype" w:hAnsi="Palatino Linotype"/>
          <w:spacing w:val="-10"/>
          <w:sz w:val="22"/>
          <w:szCs w:val="22"/>
        </w:rPr>
      </w:pPr>
      <w:r w:rsidRPr="004D2DF0">
        <w:rPr>
          <w:rFonts w:ascii="Palatino Linotype" w:hAnsi="Palatino Linotype"/>
          <w:spacing w:val="-10"/>
          <w:sz w:val="22"/>
          <w:szCs w:val="22"/>
        </w:rPr>
        <w:t xml:space="preserve"> </w:t>
      </w:r>
    </w:p>
    <w:p w:rsidR="00B81CEF" w:rsidRPr="004D2DF0" w:rsidRDefault="00B81CEF" w:rsidP="00747260">
      <w:pPr>
        <w:numPr>
          <w:ilvl w:val="0"/>
          <w:numId w:val="8"/>
        </w:numPr>
        <w:ind w:left="360"/>
        <w:contextualSpacing/>
        <w:jc w:val="both"/>
        <w:rPr>
          <w:rFonts w:ascii="Palatino Linotype" w:hAnsi="Palatino Linotype"/>
          <w:spacing w:val="-10"/>
          <w:sz w:val="22"/>
          <w:szCs w:val="22"/>
        </w:rPr>
      </w:pPr>
      <w:r w:rsidRPr="004D2DF0">
        <w:rPr>
          <w:rFonts w:ascii="Palatino Linotype" w:hAnsi="Palatino Linotype"/>
          <w:bCs/>
          <w:spacing w:val="-10"/>
          <w:sz w:val="22"/>
          <w:szCs w:val="22"/>
        </w:rPr>
        <w:t xml:space="preserve">Eliminate the MRB purchase price limits.  Meanwhile, work with Treasury to improve its proposed safe harbor purchase price methodology.  </w:t>
      </w:r>
    </w:p>
    <w:p w:rsidR="00B81CEF" w:rsidRPr="004D2DF0" w:rsidRDefault="00B81CEF" w:rsidP="00747260">
      <w:pPr>
        <w:pStyle w:val="ListParagraph"/>
        <w:jc w:val="both"/>
        <w:rPr>
          <w:rFonts w:ascii="Palatino Linotype" w:hAnsi="Palatino Linotype"/>
          <w:bCs/>
          <w:spacing w:val="-10"/>
          <w:sz w:val="22"/>
          <w:szCs w:val="22"/>
        </w:rPr>
      </w:pPr>
    </w:p>
    <w:p w:rsidR="00B81CEF" w:rsidRPr="004D2DF0" w:rsidRDefault="00B81CEF" w:rsidP="00747260">
      <w:pPr>
        <w:numPr>
          <w:ilvl w:val="0"/>
          <w:numId w:val="8"/>
        </w:numPr>
        <w:ind w:left="360"/>
        <w:contextualSpacing/>
        <w:jc w:val="both"/>
        <w:rPr>
          <w:rFonts w:ascii="Palatino Linotype" w:hAnsi="Palatino Linotype"/>
          <w:spacing w:val="-10"/>
          <w:sz w:val="22"/>
          <w:szCs w:val="22"/>
        </w:rPr>
      </w:pPr>
      <w:r w:rsidRPr="004D2DF0">
        <w:rPr>
          <w:rFonts w:ascii="Palatino Linotype" w:hAnsi="Palatino Linotype"/>
          <w:bCs/>
          <w:spacing w:val="-10"/>
          <w:sz w:val="22"/>
          <w:szCs w:val="22"/>
        </w:rPr>
        <w:t>Repeal the MRB refinancing limitation.</w:t>
      </w:r>
    </w:p>
    <w:p w:rsidR="00B81CEF" w:rsidRPr="004D2DF0" w:rsidRDefault="00B81CEF" w:rsidP="00747260">
      <w:pPr>
        <w:pStyle w:val="ListParagraph"/>
        <w:ind w:left="0"/>
        <w:jc w:val="both"/>
        <w:rPr>
          <w:rFonts w:ascii="Palatino Linotype" w:hAnsi="Palatino Linotype" w:cs="Arial"/>
          <w:spacing w:val="-10"/>
          <w:sz w:val="22"/>
          <w:szCs w:val="22"/>
        </w:rPr>
      </w:pPr>
    </w:p>
    <w:p w:rsidR="00B81CEF" w:rsidRPr="004D2DF0" w:rsidRDefault="00B81CEF" w:rsidP="00747260">
      <w:pPr>
        <w:numPr>
          <w:ilvl w:val="0"/>
          <w:numId w:val="8"/>
        </w:numPr>
        <w:ind w:left="360"/>
        <w:contextualSpacing/>
        <w:jc w:val="both"/>
        <w:rPr>
          <w:rFonts w:ascii="Palatino Linotype" w:hAnsi="Palatino Linotype"/>
          <w:spacing w:val="-10"/>
          <w:sz w:val="22"/>
          <w:szCs w:val="22"/>
        </w:rPr>
      </w:pPr>
      <w:r w:rsidRPr="004D2DF0">
        <w:rPr>
          <w:rFonts w:ascii="Palatino Linotype" w:hAnsi="Palatino Linotype"/>
          <w:bCs/>
          <w:spacing w:val="-10"/>
          <w:sz w:val="22"/>
          <w:szCs w:val="22"/>
        </w:rPr>
        <w:t>Increase the MRB home improvement loan limit by an amount at least adequate to reflect the rise in construction costs since it was first established and index it for construction cost inflation annually thereafter.</w:t>
      </w:r>
      <w:r w:rsidRPr="004D2DF0">
        <w:rPr>
          <w:rFonts w:ascii="Palatino Linotype" w:hAnsi="Palatino Linotype"/>
          <w:b/>
          <w:bCs/>
          <w:spacing w:val="-10"/>
          <w:sz w:val="22"/>
          <w:szCs w:val="22"/>
        </w:rPr>
        <w:t xml:space="preserve">   </w:t>
      </w:r>
      <w:r w:rsidRPr="004D2DF0">
        <w:rPr>
          <w:rStyle w:val="Strong"/>
          <w:rFonts w:ascii="Palatino Linotype" w:hAnsi="Palatino Linotype"/>
          <w:b w:val="0"/>
          <w:iCs/>
          <w:spacing w:val="-10"/>
          <w:sz w:val="22"/>
          <w:szCs w:val="22"/>
        </w:rPr>
        <w:t xml:space="preserve">  </w:t>
      </w:r>
    </w:p>
    <w:p w:rsidR="00B81CEF" w:rsidRPr="004D2DF0" w:rsidRDefault="00B81CEF" w:rsidP="00747260">
      <w:pPr>
        <w:pStyle w:val="ListParagraph"/>
        <w:jc w:val="both"/>
        <w:rPr>
          <w:rFonts w:ascii="Palatino Linotype" w:hAnsi="Palatino Linotype"/>
          <w:spacing w:val="-10"/>
          <w:sz w:val="22"/>
          <w:szCs w:val="22"/>
        </w:rPr>
      </w:pPr>
    </w:p>
    <w:p w:rsidR="00B81CEF" w:rsidRPr="004D2DF0" w:rsidRDefault="00B81CEF" w:rsidP="00747260">
      <w:pPr>
        <w:numPr>
          <w:ilvl w:val="0"/>
          <w:numId w:val="8"/>
        </w:numPr>
        <w:ind w:left="360"/>
        <w:contextualSpacing/>
        <w:jc w:val="both"/>
        <w:rPr>
          <w:rFonts w:ascii="Palatino Linotype" w:hAnsi="Palatino Linotype"/>
          <w:spacing w:val="-10"/>
          <w:sz w:val="22"/>
          <w:szCs w:val="22"/>
        </w:rPr>
      </w:pPr>
      <w:r w:rsidRPr="004D2DF0">
        <w:rPr>
          <w:rFonts w:ascii="Palatino Linotype" w:hAnsi="Palatino Linotype"/>
          <w:spacing w:val="-10"/>
          <w:sz w:val="22"/>
          <w:szCs w:val="22"/>
        </w:rPr>
        <w:t xml:space="preserve">Exempt all refunding Housing Bonds from the </w:t>
      </w:r>
      <w:r w:rsidR="00145FAA">
        <w:rPr>
          <w:rFonts w:ascii="Palatino Linotype" w:hAnsi="Palatino Linotype"/>
          <w:spacing w:val="-10"/>
          <w:sz w:val="22"/>
          <w:szCs w:val="22"/>
        </w:rPr>
        <w:t xml:space="preserve">Alternative </w:t>
      </w:r>
      <w:r w:rsidR="00442EA7">
        <w:rPr>
          <w:rFonts w:ascii="Palatino Linotype" w:hAnsi="Palatino Linotype"/>
          <w:spacing w:val="-10"/>
          <w:sz w:val="22"/>
          <w:szCs w:val="22"/>
        </w:rPr>
        <w:t>M</w:t>
      </w:r>
      <w:r w:rsidR="00145FAA">
        <w:rPr>
          <w:rFonts w:ascii="Palatino Linotype" w:hAnsi="Palatino Linotype"/>
          <w:spacing w:val="-10"/>
          <w:sz w:val="22"/>
          <w:szCs w:val="22"/>
        </w:rPr>
        <w:t>inimum Tax (</w:t>
      </w:r>
      <w:r w:rsidRPr="004D2DF0">
        <w:rPr>
          <w:rFonts w:ascii="Palatino Linotype" w:hAnsi="Palatino Linotype"/>
          <w:spacing w:val="-10"/>
          <w:sz w:val="22"/>
          <w:szCs w:val="22"/>
        </w:rPr>
        <w:t>AMT</w:t>
      </w:r>
      <w:r w:rsidR="00145FAA">
        <w:rPr>
          <w:rFonts w:ascii="Palatino Linotype" w:hAnsi="Palatino Linotype"/>
          <w:spacing w:val="-10"/>
          <w:sz w:val="22"/>
          <w:szCs w:val="22"/>
        </w:rPr>
        <w:t>)</w:t>
      </w:r>
      <w:r w:rsidRPr="004D2DF0">
        <w:rPr>
          <w:rFonts w:ascii="Palatino Linotype" w:hAnsi="Palatino Linotype"/>
          <w:spacing w:val="-10"/>
          <w:sz w:val="22"/>
          <w:szCs w:val="22"/>
        </w:rPr>
        <w:t>.</w:t>
      </w:r>
    </w:p>
    <w:p w:rsidR="00507DC4" w:rsidRDefault="00507DC4" w:rsidP="00507DC4">
      <w:pPr>
        <w:pStyle w:val="ListParagraph"/>
        <w:rPr>
          <w:rFonts w:ascii="Palatino Linotype" w:hAnsi="Palatino Linotype"/>
          <w:spacing w:val="-10"/>
          <w:sz w:val="22"/>
          <w:szCs w:val="22"/>
        </w:rPr>
      </w:pPr>
    </w:p>
    <w:p w:rsidR="00507DC4" w:rsidRPr="00D440C9" w:rsidRDefault="003226B0" w:rsidP="003226B0">
      <w:pPr>
        <w:numPr>
          <w:ilvl w:val="0"/>
          <w:numId w:val="8"/>
        </w:numPr>
        <w:ind w:left="360"/>
        <w:contextualSpacing/>
        <w:jc w:val="both"/>
        <w:rPr>
          <w:rFonts w:ascii="Palatino Linotype" w:hAnsi="Palatino Linotype"/>
          <w:spacing w:val="-10"/>
          <w:sz w:val="22"/>
          <w:szCs w:val="22"/>
        </w:rPr>
      </w:pPr>
      <w:r w:rsidRPr="00D440C9">
        <w:rPr>
          <w:rFonts w:ascii="Palatino Linotype" w:hAnsi="Palatino Linotype"/>
          <w:spacing w:val="-10"/>
          <w:sz w:val="22"/>
          <w:szCs w:val="22"/>
        </w:rPr>
        <w:t xml:space="preserve">Strengthen the </w:t>
      </w:r>
      <w:r w:rsidR="00507DC4" w:rsidRPr="00D440C9">
        <w:rPr>
          <w:rFonts w:ascii="Palatino Linotype" w:hAnsi="Palatino Linotype"/>
          <w:spacing w:val="-10"/>
          <w:sz w:val="22"/>
          <w:szCs w:val="22"/>
        </w:rPr>
        <w:t>M</w:t>
      </w:r>
      <w:r w:rsidR="00991A08" w:rsidRPr="00D440C9">
        <w:rPr>
          <w:rFonts w:ascii="Palatino Linotype" w:hAnsi="Palatino Linotype"/>
          <w:spacing w:val="-10"/>
          <w:sz w:val="22"/>
          <w:szCs w:val="22"/>
        </w:rPr>
        <w:t>ortgage Credit Certificate</w:t>
      </w:r>
      <w:r w:rsidR="00B0047C">
        <w:rPr>
          <w:rFonts w:ascii="Palatino Linotype" w:hAnsi="Palatino Linotype"/>
          <w:spacing w:val="-10"/>
          <w:sz w:val="22"/>
          <w:szCs w:val="22"/>
        </w:rPr>
        <w:t xml:space="preserve"> (MCC)</w:t>
      </w:r>
      <w:r w:rsidR="00991A08" w:rsidRPr="00D440C9">
        <w:rPr>
          <w:rFonts w:ascii="Palatino Linotype" w:hAnsi="Palatino Linotype"/>
          <w:spacing w:val="-10"/>
          <w:sz w:val="22"/>
          <w:szCs w:val="22"/>
        </w:rPr>
        <w:t xml:space="preserve"> p</w:t>
      </w:r>
      <w:r w:rsidR="00507DC4" w:rsidRPr="00D440C9">
        <w:rPr>
          <w:rFonts w:ascii="Palatino Linotype" w:hAnsi="Palatino Linotype"/>
          <w:spacing w:val="-10"/>
          <w:sz w:val="22"/>
          <w:szCs w:val="22"/>
        </w:rPr>
        <w:t>rogram</w:t>
      </w:r>
      <w:r w:rsidR="00991A08" w:rsidRPr="00D440C9">
        <w:rPr>
          <w:rFonts w:ascii="Palatino Linotype" w:hAnsi="Palatino Linotype"/>
          <w:spacing w:val="-10"/>
          <w:sz w:val="22"/>
          <w:szCs w:val="22"/>
        </w:rPr>
        <w:t xml:space="preserve"> by</w:t>
      </w:r>
      <w:r w:rsidR="00003F90" w:rsidRPr="00D440C9">
        <w:rPr>
          <w:rFonts w:ascii="Palatino Linotype" w:hAnsi="Palatino Linotype"/>
          <w:spacing w:val="-10"/>
          <w:sz w:val="22"/>
          <w:szCs w:val="22"/>
        </w:rPr>
        <w:t xml:space="preserve"> making it more efficient and easier to administer</w:t>
      </w:r>
      <w:r w:rsidR="00F26E0D">
        <w:rPr>
          <w:rFonts w:ascii="Palatino Linotype" w:hAnsi="Palatino Linotype"/>
          <w:spacing w:val="-10"/>
          <w:sz w:val="22"/>
          <w:szCs w:val="22"/>
        </w:rPr>
        <w:t>.</w:t>
      </w:r>
    </w:p>
    <w:p w:rsidR="00991A08" w:rsidRDefault="00991A08" w:rsidP="00F26E0D">
      <w:pPr>
        <w:contextualSpacing/>
        <w:jc w:val="both"/>
        <w:rPr>
          <w:rFonts w:ascii="Palatino Linotype" w:hAnsi="Palatino Linotype"/>
          <w:spacing w:val="-10"/>
          <w:sz w:val="22"/>
          <w:szCs w:val="22"/>
        </w:rPr>
      </w:pPr>
    </w:p>
    <w:p w:rsidR="00CD16A9" w:rsidRPr="000847F7" w:rsidRDefault="00CD16A9" w:rsidP="00CD16A9">
      <w:pPr>
        <w:pStyle w:val="ListParagraph"/>
        <w:numPr>
          <w:ilvl w:val="0"/>
          <w:numId w:val="14"/>
        </w:numPr>
        <w:ind w:left="360"/>
        <w:jc w:val="both"/>
        <w:rPr>
          <w:rFonts w:ascii="Palatino Linotype" w:hAnsi="Palatino Linotype"/>
          <w:spacing w:val="-10"/>
          <w:sz w:val="22"/>
          <w:szCs w:val="22"/>
        </w:rPr>
      </w:pPr>
      <w:r w:rsidRPr="000847F7">
        <w:rPr>
          <w:rFonts w:ascii="Palatino Linotype" w:hAnsi="Palatino Linotype"/>
          <w:spacing w:val="-10"/>
          <w:sz w:val="22"/>
          <w:szCs w:val="22"/>
        </w:rPr>
        <w:t>Support proposal</w:t>
      </w:r>
      <w:r w:rsidR="00F5010E">
        <w:rPr>
          <w:rFonts w:ascii="Palatino Linotype" w:hAnsi="Palatino Linotype"/>
          <w:spacing w:val="-10"/>
          <w:sz w:val="22"/>
          <w:szCs w:val="22"/>
        </w:rPr>
        <w:t xml:space="preserve">s allowing </w:t>
      </w:r>
      <w:r w:rsidRPr="000847F7">
        <w:rPr>
          <w:rFonts w:ascii="Palatino Linotype" w:hAnsi="Palatino Linotype"/>
          <w:spacing w:val="-10"/>
          <w:sz w:val="22"/>
          <w:szCs w:val="22"/>
        </w:rPr>
        <w:t>states</w:t>
      </w:r>
      <w:r w:rsidR="00F5010E">
        <w:rPr>
          <w:rFonts w:ascii="Palatino Linotype" w:hAnsi="Palatino Linotype"/>
          <w:spacing w:val="-10"/>
          <w:sz w:val="22"/>
          <w:szCs w:val="22"/>
        </w:rPr>
        <w:t>, at their discretion,</w:t>
      </w:r>
      <w:r w:rsidRPr="000847F7">
        <w:rPr>
          <w:rFonts w:ascii="Palatino Linotype" w:hAnsi="Palatino Linotype"/>
          <w:spacing w:val="-10"/>
          <w:sz w:val="22"/>
          <w:szCs w:val="22"/>
        </w:rPr>
        <w:t xml:space="preserve"> the option of converting </w:t>
      </w:r>
      <w:r w:rsidR="00F5010E">
        <w:rPr>
          <w:rFonts w:ascii="Palatino Linotype" w:hAnsi="Palatino Linotype"/>
          <w:spacing w:val="-10"/>
          <w:sz w:val="22"/>
          <w:szCs w:val="22"/>
        </w:rPr>
        <w:t xml:space="preserve">a portion </w:t>
      </w:r>
      <w:r w:rsidRPr="000847F7">
        <w:rPr>
          <w:rFonts w:ascii="Palatino Linotype" w:hAnsi="Palatino Linotype"/>
          <w:spacing w:val="-10"/>
          <w:sz w:val="22"/>
          <w:szCs w:val="22"/>
        </w:rPr>
        <w:t xml:space="preserve">of their annual PAB authority into Housing Credit authority, with the conditions that it remain a voluntary state determination that provides states the maximum flexibility possible in deciding what PAB authority to convert, and is not considered a sufficient response to the need for more Housing Credit authority.  </w:t>
      </w:r>
    </w:p>
    <w:p w:rsidR="00CD16A9" w:rsidRPr="000847F7" w:rsidRDefault="00CD16A9" w:rsidP="00CD16A9">
      <w:pPr>
        <w:ind w:left="360"/>
        <w:jc w:val="both"/>
        <w:rPr>
          <w:rFonts w:ascii="Palatino Linotype" w:hAnsi="Palatino Linotype"/>
          <w:spacing w:val="-10"/>
          <w:sz w:val="22"/>
          <w:szCs w:val="22"/>
        </w:rPr>
      </w:pPr>
    </w:p>
    <w:p w:rsidR="00CD16A9" w:rsidRDefault="00CD16A9" w:rsidP="00CC74B6">
      <w:pPr>
        <w:pStyle w:val="ListParagraph"/>
        <w:numPr>
          <w:ilvl w:val="0"/>
          <w:numId w:val="13"/>
        </w:numPr>
        <w:ind w:left="360"/>
        <w:jc w:val="both"/>
        <w:rPr>
          <w:rFonts w:ascii="Palatino Linotype" w:hAnsi="Palatino Linotype"/>
          <w:spacing w:val="-10"/>
          <w:sz w:val="22"/>
          <w:szCs w:val="22"/>
        </w:rPr>
      </w:pPr>
      <w:r w:rsidRPr="000847F7">
        <w:rPr>
          <w:rFonts w:ascii="Palatino Linotype" w:hAnsi="Palatino Linotype"/>
          <w:spacing w:val="-10"/>
          <w:sz w:val="22"/>
          <w:szCs w:val="22"/>
        </w:rPr>
        <w:t>Oppose add</w:t>
      </w:r>
      <w:r w:rsidR="002831A0">
        <w:rPr>
          <w:rFonts w:ascii="Palatino Linotype" w:hAnsi="Palatino Linotype"/>
          <w:spacing w:val="-10"/>
          <w:sz w:val="22"/>
          <w:szCs w:val="22"/>
        </w:rPr>
        <w:t>ing</w:t>
      </w:r>
      <w:r w:rsidRPr="000847F7">
        <w:rPr>
          <w:rFonts w:ascii="Palatino Linotype" w:hAnsi="Palatino Linotype"/>
          <w:spacing w:val="-10"/>
          <w:sz w:val="22"/>
          <w:szCs w:val="22"/>
        </w:rPr>
        <w:t xml:space="preserve"> to the ten Housing Credit Qualified Allocation Plan (QAP) selection criteria an eleventh criteria for preservation of federally assisted affordable housing.  </w:t>
      </w:r>
    </w:p>
    <w:p w:rsidR="00053DA4" w:rsidRDefault="00053DA4" w:rsidP="00053DA4">
      <w:pPr>
        <w:jc w:val="both"/>
        <w:rPr>
          <w:rFonts w:ascii="Palatino Linotype" w:hAnsi="Palatino Linotype"/>
          <w:spacing w:val="-10"/>
          <w:sz w:val="22"/>
          <w:szCs w:val="22"/>
        </w:rPr>
      </w:pPr>
    </w:p>
    <w:p w:rsidR="00053DA4" w:rsidRPr="00053DA4" w:rsidRDefault="00053DA4" w:rsidP="00053DA4">
      <w:pPr>
        <w:jc w:val="both"/>
        <w:rPr>
          <w:rFonts w:ascii="Palatino Linotype" w:hAnsi="Palatino Linotype"/>
          <w:spacing w:val="-10"/>
          <w:sz w:val="22"/>
          <w:szCs w:val="22"/>
        </w:rPr>
      </w:pPr>
    </w:p>
    <w:sectPr w:rsidR="00053DA4" w:rsidRPr="00053DA4" w:rsidSect="00F6618D">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5D8" w:rsidRDefault="008555D8" w:rsidP="00F6618D">
      <w:r>
        <w:separator/>
      </w:r>
    </w:p>
  </w:endnote>
  <w:endnote w:type="continuationSeparator" w:id="0">
    <w:p w:rsidR="008555D8" w:rsidRDefault="008555D8" w:rsidP="00F6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0" w:rsidRPr="00F6618D" w:rsidRDefault="00686FA0">
    <w:pPr>
      <w:pStyle w:val="Footer"/>
      <w:jc w:val="center"/>
      <w:rPr>
        <w:rFonts w:ascii="Palatino Linotype" w:hAnsi="Palatino Linotype"/>
        <w:sz w:val="22"/>
        <w:szCs w:val="22"/>
      </w:rPr>
    </w:pPr>
    <w:r w:rsidRPr="00F6618D">
      <w:rPr>
        <w:rFonts w:ascii="Palatino Linotype" w:hAnsi="Palatino Linotype"/>
        <w:sz w:val="22"/>
        <w:szCs w:val="22"/>
      </w:rPr>
      <w:fldChar w:fldCharType="begin"/>
    </w:r>
    <w:r w:rsidRPr="00F6618D">
      <w:rPr>
        <w:rFonts w:ascii="Palatino Linotype" w:hAnsi="Palatino Linotype"/>
        <w:sz w:val="22"/>
        <w:szCs w:val="22"/>
      </w:rPr>
      <w:instrText xml:space="preserve"> PAGE   \* MERGEFORMAT </w:instrText>
    </w:r>
    <w:r w:rsidRPr="00F6618D">
      <w:rPr>
        <w:rFonts w:ascii="Palatino Linotype" w:hAnsi="Palatino Linotype"/>
        <w:sz w:val="22"/>
        <w:szCs w:val="22"/>
      </w:rPr>
      <w:fldChar w:fldCharType="separate"/>
    </w:r>
    <w:r w:rsidR="008050D3">
      <w:rPr>
        <w:rFonts w:ascii="Palatino Linotype" w:hAnsi="Palatino Linotype"/>
        <w:noProof/>
        <w:sz w:val="22"/>
        <w:szCs w:val="22"/>
      </w:rPr>
      <w:t>4</w:t>
    </w:r>
    <w:r w:rsidRPr="00F6618D">
      <w:rPr>
        <w:rFonts w:ascii="Palatino Linotype" w:hAnsi="Palatino Linotype"/>
        <w:noProof/>
        <w:sz w:val="22"/>
        <w:szCs w:val="22"/>
      </w:rPr>
      <w:fldChar w:fldCharType="end"/>
    </w:r>
  </w:p>
  <w:p w:rsidR="00686FA0" w:rsidRDefault="00686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5D8" w:rsidRDefault="008555D8" w:rsidP="00F6618D">
      <w:r>
        <w:separator/>
      </w:r>
    </w:p>
  </w:footnote>
  <w:footnote w:type="continuationSeparator" w:id="0">
    <w:p w:rsidR="008555D8" w:rsidRDefault="008555D8" w:rsidP="00F66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10DA"/>
    <w:multiLevelType w:val="hybridMultilevel"/>
    <w:tmpl w:val="4CD6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F4115E"/>
    <w:multiLevelType w:val="hybridMultilevel"/>
    <w:tmpl w:val="88C8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71B0"/>
    <w:multiLevelType w:val="hybridMultilevel"/>
    <w:tmpl w:val="6E90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E7EE5"/>
    <w:multiLevelType w:val="hybridMultilevel"/>
    <w:tmpl w:val="B224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E4DFF"/>
    <w:multiLevelType w:val="hybridMultilevel"/>
    <w:tmpl w:val="C8E81C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91721B"/>
    <w:multiLevelType w:val="hybridMultilevel"/>
    <w:tmpl w:val="834EE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6F600E"/>
    <w:multiLevelType w:val="hybridMultilevel"/>
    <w:tmpl w:val="979A5C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35653FC"/>
    <w:multiLevelType w:val="hybridMultilevel"/>
    <w:tmpl w:val="99EA18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38D0EE4"/>
    <w:multiLevelType w:val="hybridMultilevel"/>
    <w:tmpl w:val="F080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DD3CB8"/>
    <w:multiLevelType w:val="hybridMultilevel"/>
    <w:tmpl w:val="18AA8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D721F6"/>
    <w:multiLevelType w:val="hybridMultilevel"/>
    <w:tmpl w:val="FAC616D8"/>
    <w:lvl w:ilvl="0" w:tplc="5494482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16362DE"/>
    <w:multiLevelType w:val="hybridMultilevel"/>
    <w:tmpl w:val="AB624C5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816DF5"/>
    <w:multiLevelType w:val="hybridMultilevel"/>
    <w:tmpl w:val="234A1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F25298"/>
    <w:multiLevelType w:val="hybridMultilevel"/>
    <w:tmpl w:val="B9044B94"/>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10"/>
  </w:num>
  <w:num w:numId="8">
    <w:abstractNumId w:val="11"/>
  </w:num>
  <w:num w:numId="9">
    <w:abstractNumId w:val="8"/>
  </w:num>
  <w:num w:numId="10">
    <w:abstractNumId w:val="9"/>
  </w:num>
  <w:num w:numId="11">
    <w:abstractNumId w:val="0"/>
  </w:num>
  <w:num w:numId="12">
    <w:abstractNumId w:val="13"/>
  </w:num>
  <w:num w:numId="13">
    <w:abstractNumId w:val="3"/>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9C"/>
    <w:rsid w:val="00003F90"/>
    <w:rsid w:val="0000556E"/>
    <w:rsid w:val="000128BC"/>
    <w:rsid w:val="000137F8"/>
    <w:rsid w:val="00020E82"/>
    <w:rsid w:val="00021AB9"/>
    <w:rsid w:val="00040994"/>
    <w:rsid w:val="00042BE4"/>
    <w:rsid w:val="00053DA4"/>
    <w:rsid w:val="0006649B"/>
    <w:rsid w:val="0008138F"/>
    <w:rsid w:val="000847F7"/>
    <w:rsid w:val="000924F7"/>
    <w:rsid w:val="00093875"/>
    <w:rsid w:val="00096D4C"/>
    <w:rsid w:val="000A224D"/>
    <w:rsid w:val="000B4923"/>
    <w:rsid w:val="000C218C"/>
    <w:rsid w:val="000C2E2A"/>
    <w:rsid w:val="000E7B62"/>
    <w:rsid w:val="001021A8"/>
    <w:rsid w:val="00116DA4"/>
    <w:rsid w:val="0012274E"/>
    <w:rsid w:val="001242C7"/>
    <w:rsid w:val="00127966"/>
    <w:rsid w:val="00130821"/>
    <w:rsid w:val="001313A6"/>
    <w:rsid w:val="001358AB"/>
    <w:rsid w:val="00145FAA"/>
    <w:rsid w:val="00150092"/>
    <w:rsid w:val="00150662"/>
    <w:rsid w:val="001514D9"/>
    <w:rsid w:val="00155033"/>
    <w:rsid w:val="0016469C"/>
    <w:rsid w:val="001656DA"/>
    <w:rsid w:val="001742C4"/>
    <w:rsid w:val="00175131"/>
    <w:rsid w:val="00182E30"/>
    <w:rsid w:val="001929DF"/>
    <w:rsid w:val="00195558"/>
    <w:rsid w:val="001A1DC9"/>
    <w:rsid w:val="001A2B5C"/>
    <w:rsid w:val="001B28EE"/>
    <w:rsid w:val="001B2E67"/>
    <w:rsid w:val="001B7A15"/>
    <w:rsid w:val="001C0C31"/>
    <w:rsid w:val="001D0AE7"/>
    <w:rsid w:val="001F3872"/>
    <w:rsid w:val="00207236"/>
    <w:rsid w:val="00215E47"/>
    <w:rsid w:val="00216FA1"/>
    <w:rsid w:val="002227D6"/>
    <w:rsid w:val="002267DA"/>
    <w:rsid w:val="002333E7"/>
    <w:rsid w:val="00235503"/>
    <w:rsid w:val="00235EC2"/>
    <w:rsid w:val="00240BDF"/>
    <w:rsid w:val="00243A05"/>
    <w:rsid w:val="00257AA2"/>
    <w:rsid w:val="00260E22"/>
    <w:rsid w:val="002804AC"/>
    <w:rsid w:val="002809BF"/>
    <w:rsid w:val="002825F0"/>
    <w:rsid w:val="002831A0"/>
    <w:rsid w:val="00285BC5"/>
    <w:rsid w:val="0028707D"/>
    <w:rsid w:val="002936BA"/>
    <w:rsid w:val="0029744C"/>
    <w:rsid w:val="002978BB"/>
    <w:rsid w:val="002A5C6D"/>
    <w:rsid w:val="002A61A1"/>
    <w:rsid w:val="002C2920"/>
    <w:rsid w:val="002D1484"/>
    <w:rsid w:val="002D503B"/>
    <w:rsid w:val="002E14D7"/>
    <w:rsid w:val="002F256D"/>
    <w:rsid w:val="002F5F66"/>
    <w:rsid w:val="00321481"/>
    <w:rsid w:val="003226B0"/>
    <w:rsid w:val="0033191F"/>
    <w:rsid w:val="00335874"/>
    <w:rsid w:val="00343427"/>
    <w:rsid w:val="00350992"/>
    <w:rsid w:val="00373E06"/>
    <w:rsid w:val="00380909"/>
    <w:rsid w:val="00383561"/>
    <w:rsid w:val="003B1B19"/>
    <w:rsid w:val="003C08A8"/>
    <w:rsid w:val="003C7947"/>
    <w:rsid w:val="003E2B5B"/>
    <w:rsid w:val="003E66F8"/>
    <w:rsid w:val="003F70DE"/>
    <w:rsid w:val="004050CB"/>
    <w:rsid w:val="00407BDD"/>
    <w:rsid w:val="00411643"/>
    <w:rsid w:val="0042067C"/>
    <w:rsid w:val="00422FAC"/>
    <w:rsid w:val="0042654C"/>
    <w:rsid w:val="00434F73"/>
    <w:rsid w:val="00436858"/>
    <w:rsid w:val="00442A56"/>
    <w:rsid w:val="00442EA7"/>
    <w:rsid w:val="00450C28"/>
    <w:rsid w:val="004632A3"/>
    <w:rsid w:val="0046408E"/>
    <w:rsid w:val="00467D9D"/>
    <w:rsid w:val="00472D13"/>
    <w:rsid w:val="00491B43"/>
    <w:rsid w:val="00495358"/>
    <w:rsid w:val="004A17C3"/>
    <w:rsid w:val="004A6E05"/>
    <w:rsid w:val="004B1920"/>
    <w:rsid w:val="004B60A7"/>
    <w:rsid w:val="004C1CBC"/>
    <w:rsid w:val="004C69F8"/>
    <w:rsid w:val="004D2DF0"/>
    <w:rsid w:val="004D78C6"/>
    <w:rsid w:val="00507DC4"/>
    <w:rsid w:val="0051104D"/>
    <w:rsid w:val="00523808"/>
    <w:rsid w:val="00525B9F"/>
    <w:rsid w:val="00526785"/>
    <w:rsid w:val="0052712E"/>
    <w:rsid w:val="005316F5"/>
    <w:rsid w:val="005350AD"/>
    <w:rsid w:val="0053654A"/>
    <w:rsid w:val="00545F33"/>
    <w:rsid w:val="00574F68"/>
    <w:rsid w:val="0057522A"/>
    <w:rsid w:val="00593F54"/>
    <w:rsid w:val="00597FA5"/>
    <w:rsid w:val="005A753A"/>
    <w:rsid w:val="005E1633"/>
    <w:rsid w:val="005F0140"/>
    <w:rsid w:val="005F25F6"/>
    <w:rsid w:val="005F6B4E"/>
    <w:rsid w:val="006474E8"/>
    <w:rsid w:val="00663439"/>
    <w:rsid w:val="006658F0"/>
    <w:rsid w:val="00667372"/>
    <w:rsid w:val="00670ECF"/>
    <w:rsid w:val="00681D20"/>
    <w:rsid w:val="00685C98"/>
    <w:rsid w:val="00686FA0"/>
    <w:rsid w:val="006A39F7"/>
    <w:rsid w:val="006B103B"/>
    <w:rsid w:val="006B6CCE"/>
    <w:rsid w:val="006B7816"/>
    <w:rsid w:val="006C3A96"/>
    <w:rsid w:val="006C4549"/>
    <w:rsid w:val="006D26E6"/>
    <w:rsid w:val="006F28B1"/>
    <w:rsid w:val="007013A4"/>
    <w:rsid w:val="007241E7"/>
    <w:rsid w:val="00743725"/>
    <w:rsid w:val="00747260"/>
    <w:rsid w:val="0075759E"/>
    <w:rsid w:val="0077410C"/>
    <w:rsid w:val="0077776C"/>
    <w:rsid w:val="00783198"/>
    <w:rsid w:val="007858D5"/>
    <w:rsid w:val="007876BD"/>
    <w:rsid w:val="007908BF"/>
    <w:rsid w:val="007935D8"/>
    <w:rsid w:val="00795108"/>
    <w:rsid w:val="007A1748"/>
    <w:rsid w:val="007A243A"/>
    <w:rsid w:val="007A37B6"/>
    <w:rsid w:val="007C473B"/>
    <w:rsid w:val="007C7A62"/>
    <w:rsid w:val="007D0EEC"/>
    <w:rsid w:val="007D541D"/>
    <w:rsid w:val="008050D3"/>
    <w:rsid w:val="0081323A"/>
    <w:rsid w:val="00820502"/>
    <w:rsid w:val="00824725"/>
    <w:rsid w:val="0082593C"/>
    <w:rsid w:val="00845812"/>
    <w:rsid w:val="00851A80"/>
    <w:rsid w:val="0085230F"/>
    <w:rsid w:val="00853667"/>
    <w:rsid w:val="008555D8"/>
    <w:rsid w:val="0086788C"/>
    <w:rsid w:val="0087237E"/>
    <w:rsid w:val="008777F7"/>
    <w:rsid w:val="0089043E"/>
    <w:rsid w:val="0089095C"/>
    <w:rsid w:val="00891C4A"/>
    <w:rsid w:val="0089700B"/>
    <w:rsid w:val="008C5CCB"/>
    <w:rsid w:val="008D164B"/>
    <w:rsid w:val="008D2503"/>
    <w:rsid w:val="00901441"/>
    <w:rsid w:val="009022FA"/>
    <w:rsid w:val="00925836"/>
    <w:rsid w:val="00951F89"/>
    <w:rsid w:val="00974C68"/>
    <w:rsid w:val="00980964"/>
    <w:rsid w:val="00983CAC"/>
    <w:rsid w:val="00984D96"/>
    <w:rsid w:val="009860FF"/>
    <w:rsid w:val="00991A08"/>
    <w:rsid w:val="00997C2F"/>
    <w:rsid w:val="009A0D43"/>
    <w:rsid w:val="009A5B8C"/>
    <w:rsid w:val="009B2FA7"/>
    <w:rsid w:val="009C2EC2"/>
    <w:rsid w:val="009C4680"/>
    <w:rsid w:val="009D3837"/>
    <w:rsid w:val="009D4924"/>
    <w:rsid w:val="009D638A"/>
    <w:rsid w:val="009F5529"/>
    <w:rsid w:val="009F6D27"/>
    <w:rsid w:val="00A027D0"/>
    <w:rsid w:val="00A1418B"/>
    <w:rsid w:val="00A218E9"/>
    <w:rsid w:val="00A2384A"/>
    <w:rsid w:val="00A23C4E"/>
    <w:rsid w:val="00A24BA2"/>
    <w:rsid w:val="00A254CC"/>
    <w:rsid w:val="00A36F1B"/>
    <w:rsid w:val="00A4229F"/>
    <w:rsid w:val="00A657CB"/>
    <w:rsid w:val="00A74EEB"/>
    <w:rsid w:val="00A91F59"/>
    <w:rsid w:val="00AA246D"/>
    <w:rsid w:val="00AA25F0"/>
    <w:rsid w:val="00AC6CFB"/>
    <w:rsid w:val="00AD4515"/>
    <w:rsid w:val="00B0047C"/>
    <w:rsid w:val="00B03B46"/>
    <w:rsid w:val="00B06867"/>
    <w:rsid w:val="00B117F3"/>
    <w:rsid w:val="00B15DEB"/>
    <w:rsid w:val="00B256FA"/>
    <w:rsid w:val="00B30F99"/>
    <w:rsid w:val="00B31154"/>
    <w:rsid w:val="00B36B1E"/>
    <w:rsid w:val="00B424FA"/>
    <w:rsid w:val="00B444E1"/>
    <w:rsid w:val="00B44AF5"/>
    <w:rsid w:val="00B46CD7"/>
    <w:rsid w:val="00B527E1"/>
    <w:rsid w:val="00B52B59"/>
    <w:rsid w:val="00B579D5"/>
    <w:rsid w:val="00B6602B"/>
    <w:rsid w:val="00B66682"/>
    <w:rsid w:val="00B71901"/>
    <w:rsid w:val="00B81CEF"/>
    <w:rsid w:val="00B84005"/>
    <w:rsid w:val="00B9672C"/>
    <w:rsid w:val="00B9676A"/>
    <w:rsid w:val="00BA2C1A"/>
    <w:rsid w:val="00BA3CB6"/>
    <w:rsid w:val="00BB190A"/>
    <w:rsid w:val="00BB3533"/>
    <w:rsid w:val="00BC23E8"/>
    <w:rsid w:val="00BC3178"/>
    <w:rsid w:val="00BC38B3"/>
    <w:rsid w:val="00BD0D04"/>
    <w:rsid w:val="00BE3503"/>
    <w:rsid w:val="00BE6416"/>
    <w:rsid w:val="00BF0ED8"/>
    <w:rsid w:val="00BF389D"/>
    <w:rsid w:val="00BF513B"/>
    <w:rsid w:val="00BF578C"/>
    <w:rsid w:val="00C01A3A"/>
    <w:rsid w:val="00C1223E"/>
    <w:rsid w:val="00C16692"/>
    <w:rsid w:val="00C24831"/>
    <w:rsid w:val="00C44EBF"/>
    <w:rsid w:val="00C52A05"/>
    <w:rsid w:val="00C55E3B"/>
    <w:rsid w:val="00C72B46"/>
    <w:rsid w:val="00C83B4F"/>
    <w:rsid w:val="00C875E1"/>
    <w:rsid w:val="00C90BF3"/>
    <w:rsid w:val="00C95F0D"/>
    <w:rsid w:val="00CA3AD8"/>
    <w:rsid w:val="00CB6BFF"/>
    <w:rsid w:val="00CC74B6"/>
    <w:rsid w:val="00CD16A9"/>
    <w:rsid w:val="00CD3607"/>
    <w:rsid w:val="00CE4AA3"/>
    <w:rsid w:val="00CE73AB"/>
    <w:rsid w:val="00D0327B"/>
    <w:rsid w:val="00D15F67"/>
    <w:rsid w:val="00D20264"/>
    <w:rsid w:val="00D34787"/>
    <w:rsid w:val="00D40D92"/>
    <w:rsid w:val="00D42F13"/>
    <w:rsid w:val="00D440C9"/>
    <w:rsid w:val="00D61EF1"/>
    <w:rsid w:val="00D64C70"/>
    <w:rsid w:val="00D906AA"/>
    <w:rsid w:val="00D93104"/>
    <w:rsid w:val="00D95621"/>
    <w:rsid w:val="00DA4032"/>
    <w:rsid w:val="00DA6178"/>
    <w:rsid w:val="00DB04D1"/>
    <w:rsid w:val="00DB1046"/>
    <w:rsid w:val="00DD1C58"/>
    <w:rsid w:val="00DD483D"/>
    <w:rsid w:val="00DD64BA"/>
    <w:rsid w:val="00DE5AAA"/>
    <w:rsid w:val="00DF2602"/>
    <w:rsid w:val="00DF44C4"/>
    <w:rsid w:val="00E115F1"/>
    <w:rsid w:val="00E2110F"/>
    <w:rsid w:val="00E26159"/>
    <w:rsid w:val="00E30163"/>
    <w:rsid w:val="00E52163"/>
    <w:rsid w:val="00E524C2"/>
    <w:rsid w:val="00E52830"/>
    <w:rsid w:val="00E5549A"/>
    <w:rsid w:val="00E73B8E"/>
    <w:rsid w:val="00E86AD9"/>
    <w:rsid w:val="00E95E0D"/>
    <w:rsid w:val="00EA1406"/>
    <w:rsid w:val="00EA2E40"/>
    <w:rsid w:val="00EA387D"/>
    <w:rsid w:val="00EB401C"/>
    <w:rsid w:val="00EC0117"/>
    <w:rsid w:val="00EC086C"/>
    <w:rsid w:val="00ED47F5"/>
    <w:rsid w:val="00ED5C72"/>
    <w:rsid w:val="00EF4C83"/>
    <w:rsid w:val="00EF5F47"/>
    <w:rsid w:val="00F14592"/>
    <w:rsid w:val="00F20E8E"/>
    <w:rsid w:val="00F21DBD"/>
    <w:rsid w:val="00F26E0D"/>
    <w:rsid w:val="00F27BB9"/>
    <w:rsid w:val="00F428C1"/>
    <w:rsid w:val="00F5010E"/>
    <w:rsid w:val="00F60643"/>
    <w:rsid w:val="00F642B4"/>
    <w:rsid w:val="00F6618D"/>
    <w:rsid w:val="00F726B8"/>
    <w:rsid w:val="00F836D6"/>
    <w:rsid w:val="00F86A5A"/>
    <w:rsid w:val="00F94676"/>
    <w:rsid w:val="00F9472A"/>
    <w:rsid w:val="00F9629F"/>
    <w:rsid w:val="00F97F6C"/>
    <w:rsid w:val="00FB43CB"/>
    <w:rsid w:val="00FF14F0"/>
    <w:rsid w:val="00FF7121"/>
    <w:rsid w:val="00FF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BAD7AA-8F22-43EB-8D72-95729D02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69C"/>
    <w:rPr>
      <w:rFonts w:ascii="Palatino" w:hAnsi="Palatino"/>
      <w:sz w:val="24"/>
      <w:szCs w:val="24"/>
    </w:rPr>
  </w:style>
  <w:style w:type="paragraph" w:styleId="Heading1">
    <w:name w:val="heading 1"/>
    <w:basedOn w:val="Normal"/>
    <w:next w:val="Normal"/>
    <w:qFormat/>
    <w:rsid w:val="0016469C"/>
    <w:pPr>
      <w:keepNext/>
      <w:outlineLvl w:val="0"/>
    </w:pPr>
    <w:rPr>
      <w:rFonts w:ascii="Times New Roman" w:eastAsia="Arial Unicode MS"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469C"/>
    <w:rPr>
      <w:color w:val="0000FF"/>
      <w:u w:val="single"/>
    </w:rPr>
  </w:style>
  <w:style w:type="paragraph" w:styleId="Header">
    <w:name w:val="header"/>
    <w:basedOn w:val="Normal"/>
    <w:rsid w:val="0016469C"/>
    <w:pPr>
      <w:tabs>
        <w:tab w:val="center" w:pos="4320"/>
        <w:tab w:val="right" w:pos="8640"/>
      </w:tabs>
    </w:pPr>
    <w:rPr>
      <w:rFonts w:ascii="Times New Roman" w:hAnsi="Times New Roman"/>
    </w:rPr>
  </w:style>
  <w:style w:type="paragraph" w:styleId="BodyText">
    <w:name w:val="Body Text"/>
    <w:basedOn w:val="Normal"/>
    <w:rsid w:val="0016469C"/>
    <w:pPr>
      <w:jc w:val="both"/>
    </w:pPr>
    <w:rPr>
      <w:rFonts w:ascii="Times New Roman" w:hAnsi="Times New Roman"/>
    </w:rPr>
  </w:style>
  <w:style w:type="paragraph" w:styleId="BodyText2">
    <w:name w:val="Body Text 2"/>
    <w:basedOn w:val="Normal"/>
    <w:link w:val="BodyText2Char"/>
    <w:rsid w:val="0016469C"/>
    <w:pPr>
      <w:jc w:val="both"/>
    </w:pPr>
    <w:rPr>
      <w:rFonts w:ascii="Times New Roman" w:hAnsi="Times New Roman"/>
      <w:b/>
      <w:bCs/>
    </w:rPr>
  </w:style>
  <w:style w:type="paragraph" w:styleId="BalloonText">
    <w:name w:val="Balloon Text"/>
    <w:basedOn w:val="Normal"/>
    <w:semiHidden/>
    <w:rsid w:val="00B06867"/>
    <w:rPr>
      <w:rFonts w:ascii="Tahoma" w:hAnsi="Tahoma" w:cs="Tahoma"/>
      <w:sz w:val="16"/>
      <w:szCs w:val="16"/>
    </w:rPr>
  </w:style>
  <w:style w:type="paragraph" w:styleId="ListParagraph">
    <w:name w:val="List Paragraph"/>
    <w:basedOn w:val="Normal"/>
    <w:uiPriority w:val="34"/>
    <w:qFormat/>
    <w:rsid w:val="00321481"/>
    <w:pPr>
      <w:ind w:left="720"/>
    </w:pPr>
  </w:style>
  <w:style w:type="character" w:customStyle="1" w:styleId="BodyText2Char">
    <w:name w:val="Body Text 2 Char"/>
    <w:link w:val="BodyText2"/>
    <w:rsid w:val="00DD483D"/>
    <w:rPr>
      <w:b/>
      <w:bCs/>
      <w:sz w:val="24"/>
      <w:szCs w:val="24"/>
    </w:rPr>
  </w:style>
  <w:style w:type="character" w:styleId="CommentReference">
    <w:name w:val="annotation reference"/>
    <w:uiPriority w:val="99"/>
    <w:semiHidden/>
    <w:unhideWhenUsed/>
    <w:rsid w:val="0029744C"/>
    <w:rPr>
      <w:sz w:val="16"/>
      <w:szCs w:val="16"/>
    </w:rPr>
  </w:style>
  <w:style w:type="paragraph" w:styleId="CommentText">
    <w:name w:val="annotation text"/>
    <w:basedOn w:val="Normal"/>
    <w:link w:val="CommentTextChar"/>
    <w:uiPriority w:val="99"/>
    <w:semiHidden/>
    <w:unhideWhenUsed/>
    <w:rsid w:val="0029744C"/>
    <w:rPr>
      <w:sz w:val="20"/>
      <w:szCs w:val="20"/>
    </w:rPr>
  </w:style>
  <w:style w:type="character" w:customStyle="1" w:styleId="CommentTextChar">
    <w:name w:val="Comment Text Char"/>
    <w:link w:val="CommentText"/>
    <w:uiPriority w:val="99"/>
    <w:semiHidden/>
    <w:rsid w:val="0029744C"/>
    <w:rPr>
      <w:rFonts w:ascii="Palatino" w:hAnsi="Palatino"/>
    </w:rPr>
  </w:style>
  <w:style w:type="paragraph" w:styleId="CommentSubject">
    <w:name w:val="annotation subject"/>
    <w:basedOn w:val="CommentText"/>
    <w:next w:val="CommentText"/>
    <w:link w:val="CommentSubjectChar"/>
    <w:uiPriority w:val="99"/>
    <w:semiHidden/>
    <w:unhideWhenUsed/>
    <w:rsid w:val="0029744C"/>
    <w:rPr>
      <w:b/>
      <w:bCs/>
    </w:rPr>
  </w:style>
  <w:style w:type="character" w:customStyle="1" w:styleId="CommentSubjectChar">
    <w:name w:val="Comment Subject Char"/>
    <w:link w:val="CommentSubject"/>
    <w:uiPriority w:val="99"/>
    <w:semiHidden/>
    <w:rsid w:val="0029744C"/>
    <w:rPr>
      <w:rFonts w:ascii="Palatino" w:hAnsi="Palatino"/>
      <w:b/>
      <w:bCs/>
    </w:rPr>
  </w:style>
  <w:style w:type="paragraph" w:styleId="PlainText">
    <w:name w:val="Plain Text"/>
    <w:basedOn w:val="Normal"/>
    <w:link w:val="PlainTextChar"/>
    <w:uiPriority w:val="99"/>
    <w:unhideWhenUsed/>
    <w:rsid w:val="00BB190A"/>
    <w:pPr>
      <w:spacing w:before="100" w:beforeAutospacing="1" w:after="100" w:afterAutospacing="1"/>
    </w:pPr>
    <w:rPr>
      <w:rFonts w:ascii="Times New Roman" w:eastAsia="Calibri" w:hAnsi="Times New Roman"/>
    </w:rPr>
  </w:style>
  <w:style w:type="character" w:customStyle="1" w:styleId="PlainTextChar">
    <w:name w:val="Plain Text Char"/>
    <w:link w:val="PlainText"/>
    <w:uiPriority w:val="99"/>
    <w:rsid w:val="00BB190A"/>
    <w:rPr>
      <w:rFonts w:eastAsia="Calibri"/>
      <w:sz w:val="24"/>
      <w:szCs w:val="24"/>
    </w:rPr>
  </w:style>
  <w:style w:type="character" w:styleId="Strong">
    <w:name w:val="Strong"/>
    <w:uiPriority w:val="22"/>
    <w:qFormat/>
    <w:rsid w:val="0052712E"/>
    <w:rPr>
      <w:b/>
      <w:bCs/>
    </w:rPr>
  </w:style>
  <w:style w:type="paragraph" w:styleId="Footer">
    <w:name w:val="footer"/>
    <w:basedOn w:val="Normal"/>
    <w:link w:val="FooterChar"/>
    <w:uiPriority w:val="99"/>
    <w:unhideWhenUsed/>
    <w:rsid w:val="00F6618D"/>
    <w:pPr>
      <w:tabs>
        <w:tab w:val="center" w:pos="4680"/>
        <w:tab w:val="right" w:pos="9360"/>
      </w:tabs>
    </w:pPr>
  </w:style>
  <w:style w:type="character" w:customStyle="1" w:styleId="FooterChar">
    <w:name w:val="Footer Char"/>
    <w:link w:val="Footer"/>
    <w:uiPriority w:val="99"/>
    <w:rsid w:val="00F6618D"/>
    <w:rPr>
      <w:rFonts w:ascii="Palatino" w:hAnsi="Palatino"/>
      <w:sz w:val="24"/>
      <w:szCs w:val="24"/>
    </w:rPr>
  </w:style>
  <w:style w:type="paragraph" w:customStyle="1" w:styleId="Default">
    <w:name w:val="Default"/>
    <w:basedOn w:val="Normal"/>
    <w:rsid w:val="00BE6416"/>
    <w:pPr>
      <w:autoSpaceDE w:val="0"/>
      <w:autoSpaceDN w:val="0"/>
    </w:pPr>
    <w:rPr>
      <w:rFonts w:ascii="Garamond" w:eastAsiaTheme="minorHAnsi" w:hAnsi="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7633">
      <w:bodyDiv w:val="1"/>
      <w:marLeft w:val="0"/>
      <w:marRight w:val="0"/>
      <w:marTop w:val="0"/>
      <w:marBottom w:val="0"/>
      <w:divBdr>
        <w:top w:val="none" w:sz="0" w:space="0" w:color="auto"/>
        <w:left w:val="none" w:sz="0" w:space="0" w:color="auto"/>
        <w:bottom w:val="none" w:sz="0" w:space="0" w:color="auto"/>
        <w:right w:val="none" w:sz="0" w:space="0" w:color="auto"/>
      </w:divBdr>
    </w:div>
    <w:div w:id="4366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4028-2EF5-4D4D-A92F-D0D475DD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Thompson</dc:creator>
  <cp:lastModifiedBy>Glen Gallo</cp:lastModifiedBy>
  <cp:revision>2</cp:revision>
  <cp:lastPrinted>2015-09-09T14:32:00Z</cp:lastPrinted>
  <dcterms:created xsi:type="dcterms:W3CDTF">2015-12-18T19:33:00Z</dcterms:created>
  <dcterms:modified xsi:type="dcterms:W3CDTF">2015-12-18T19:33:00Z</dcterms:modified>
</cp:coreProperties>
</file>